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1AB1D1F1" w:rsidR="00E90E49" w:rsidRPr="00CE0424" w:rsidRDefault="00E90E49" w:rsidP="00E35559">
      <w:pPr>
        <w:pStyle w:val="3GPPHeader"/>
        <w:spacing w:after="60"/>
        <w:rPr>
          <w:sz w:val="32"/>
          <w:szCs w:val="32"/>
          <w:highlight w:val="yellow"/>
        </w:rPr>
      </w:pPr>
      <w:r w:rsidRPr="00CE0424">
        <w:t>3GPP TSG-RA</w:t>
      </w:r>
      <w:r w:rsidR="00F47E27">
        <w:t>N</w:t>
      </w:r>
      <w:r w:rsidRPr="00CE0424">
        <w:t xml:space="preserve"> </w:t>
      </w:r>
      <w:r w:rsidR="008F1C4E">
        <w:t xml:space="preserve">Meeting </w:t>
      </w:r>
      <w:r w:rsidRPr="00CE0424">
        <w:t>#</w:t>
      </w:r>
      <w:r w:rsidR="00F47E27">
        <w:t>101</w:t>
      </w:r>
      <w:r w:rsidRPr="00CE0424">
        <w:tab/>
      </w:r>
      <w:r w:rsidR="00091557" w:rsidRPr="00CE0424">
        <w:rPr>
          <w:sz w:val="32"/>
          <w:szCs w:val="32"/>
        </w:rPr>
        <w:t>R</w:t>
      </w:r>
      <w:r w:rsidR="00F47E27">
        <w:rPr>
          <w:sz w:val="32"/>
          <w:szCs w:val="32"/>
        </w:rPr>
        <w:t>P</w:t>
      </w:r>
      <w:r w:rsidR="00091557" w:rsidRPr="00CE0424">
        <w:rPr>
          <w:sz w:val="32"/>
          <w:szCs w:val="32"/>
        </w:rPr>
        <w:t>-</w:t>
      </w:r>
      <w:r w:rsidR="00F47E27">
        <w:rPr>
          <w:sz w:val="32"/>
          <w:szCs w:val="32"/>
        </w:rPr>
        <w:t>23</w:t>
      </w:r>
      <w:r w:rsidR="00F9481E">
        <w:rPr>
          <w:sz w:val="32"/>
          <w:szCs w:val="32"/>
        </w:rPr>
        <w:t>2291</w:t>
      </w:r>
    </w:p>
    <w:p w14:paraId="0CE7B7E6" w14:textId="6B02BAA7" w:rsidR="00E90E49" w:rsidRPr="00CE0424" w:rsidRDefault="0098604C" w:rsidP="00311702">
      <w:pPr>
        <w:pStyle w:val="3GPPHeader"/>
      </w:pPr>
      <w:r>
        <w:t>Bangalore, India, September 11</w:t>
      </w:r>
      <w:r w:rsidRPr="73CD5D51">
        <w:rPr>
          <w:vertAlign w:val="superscript"/>
        </w:rPr>
        <w:t>th</w:t>
      </w:r>
      <w:r w:rsidR="002645FC">
        <w:t xml:space="preserve"> – </w:t>
      </w:r>
      <w:r>
        <w:t>15</w:t>
      </w:r>
      <w:r w:rsidRPr="73CD5D51">
        <w:rPr>
          <w:vertAlign w:val="superscript"/>
        </w:rPr>
        <w:t>th</w:t>
      </w:r>
      <w:r>
        <w:t>, 2023</w:t>
      </w:r>
    </w:p>
    <w:p w14:paraId="3086AC07" w14:textId="77777777" w:rsidR="00E90E49" w:rsidRPr="00CE0424" w:rsidRDefault="00E90E49" w:rsidP="00357380">
      <w:pPr>
        <w:pStyle w:val="3GPPHeader"/>
      </w:pPr>
    </w:p>
    <w:p w14:paraId="3982483C" w14:textId="4D45720E" w:rsidR="00E90E49" w:rsidRPr="0053663E" w:rsidRDefault="00E90E49" w:rsidP="00311702">
      <w:pPr>
        <w:pStyle w:val="3GPPHeader"/>
        <w:rPr>
          <w:sz w:val="22"/>
        </w:rPr>
      </w:pPr>
      <w:r w:rsidRPr="0053663E">
        <w:rPr>
          <w:sz w:val="22"/>
        </w:rPr>
        <w:t>Agenda Item:</w:t>
      </w:r>
      <w:r w:rsidRPr="0053663E">
        <w:rPr>
          <w:sz w:val="22"/>
        </w:rPr>
        <w:tab/>
      </w:r>
      <w:r w:rsidR="00CF61C2" w:rsidRPr="0053663E">
        <w:rPr>
          <w:sz w:val="22"/>
        </w:rPr>
        <w:t>8A.2.3</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5DFF0468" w:rsidR="00E90E49" w:rsidRPr="00CE0424" w:rsidRDefault="003D3C45" w:rsidP="00311702">
      <w:pPr>
        <w:pStyle w:val="3GPPHeader"/>
        <w:rPr>
          <w:sz w:val="22"/>
        </w:rPr>
      </w:pPr>
      <w:r>
        <w:rPr>
          <w:sz w:val="22"/>
        </w:rPr>
        <w:t>Title:</w:t>
      </w:r>
      <w:r w:rsidR="00E90E49" w:rsidRPr="00CE0424">
        <w:rPr>
          <w:sz w:val="22"/>
        </w:rPr>
        <w:tab/>
      </w:r>
      <w:r w:rsidR="00F47E27">
        <w:rPr>
          <w:sz w:val="22"/>
        </w:rPr>
        <w:t>Duplexing Evolution in Rel-19</w:t>
      </w:r>
    </w:p>
    <w:p w14:paraId="025260C1" w14:textId="3D96CA72" w:rsidR="00E90E49" w:rsidRPr="00CE0424" w:rsidRDefault="00E90E49" w:rsidP="00D546FF">
      <w:pPr>
        <w:pStyle w:val="3GPPHeader"/>
        <w:rPr>
          <w:sz w:val="22"/>
        </w:rPr>
      </w:pPr>
      <w:r w:rsidRPr="00CE0424">
        <w:rPr>
          <w:sz w:val="22"/>
        </w:rPr>
        <w:t>Document for:</w:t>
      </w:r>
      <w:r w:rsidRPr="00CE0424">
        <w:rPr>
          <w:sz w:val="22"/>
        </w:rPr>
        <w:tab/>
      </w:r>
      <w:r w:rsidR="00F47E27">
        <w:rPr>
          <w:sz w:val="22"/>
        </w:rPr>
        <w:t>Discussion</w:t>
      </w:r>
    </w:p>
    <w:p w14:paraId="2D5672ED" w14:textId="77777777" w:rsidR="00E90E49" w:rsidRPr="00CE0424" w:rsidRDefault="00E90E49" w:rsidP="00E90E49"/>
    <w:p w14:paraId="6883CB62" w14:textId="77777777" w:rsidR="00E90E49" w:rsidRPr="00CE0424" w:rsidRDefault="00230D18" w:rsidP="00CE0424">
      <w:pPr>
        <w:pStyle w:val="Heading1"/>
      </w:pPr>
      <w:r>
        <w:t>1</w:t>
      </w:r>
      <w:r>
        <w:tab/>
      </w:r>
      <w:r w:rsidR="00E90E49" w:rsidRPr="00CE0424">
        <w:t>Introduction</w:t>
      </w:r>
    </w:p>
    <w:p w14:paraId="231E64EA" w14:textId="276C878B" w:rsidR="00477768" w:rsidRDefault="00A73440" w:rsidP="00CE0424">
      <w:pPr>
        <w:pStyle w:val="BodyText"/>
      </w:pPr>
      <w:r>
        <w:t>Sub-</w:t>
      </w:r>
      <w:r w:rsidR="00921B09">
        <w:t xml:space="preserve">Band </w:t>
      </w:r>
      <w:r>
        <w:t>Full Duplex</w:t>
      </w:r>
      <w:r w:rsidR="00921B09">
        <w:t xml:space="preserve"> (SBFD)</w:t>
      </w:r>
      <w:r>
        <w:t xml:space="preserve"> has been studied during </w:t>
      </w:r>
      <w:r w:rsidR="00FF7646">
        <w:t xml:space="preserve">a </w:t>
      </w:r>
      <w:r>
        <w:t>Rel-1</w:t>
      </w:r>
      <w:r w:rsidR="00F17EA5">
        <w:t>8</w:t>
      </w:r>
      <w:r w:rsidR="00FF7646">
        <w:t xml:space="preserve"> Study Item (SI)</w:t>
      </w:r>
      <w:r w:rsidR="00F17EA5">
        <w:t xml:space="preserve">. Our analysis shows that for </w:t>
      </w:r>
      <w:r w:rsidR="00991F25">
        <w:t xml:space="preserve">realistic </w:t>
      </w:r>
      <w:r w:rsidR="00F17EA5">
        <w:t xml:space="preserve">outdoor, wide-area </w:t>
      </w:r>
      <w:r w:rsidR="001C2AD4">
        <w:t>F</w:t>
      </w:r>
      <w:r w:rsidR="00DB6FD3">
        <w:t>R</w:t>
      </w:r>
      <w:r w:rsidR="001C2AD4">
        <w:t xml:space="preserve">1 </w:t>
      </w:r>
      <w:r w:rsidR="00F17EA5">
        <w:t xml:space="preserve">scenarios, the feasibility of </w:t>
      </w:r>
      <w:r w:rsidR="003D1463">
        <w:t>SBFD</w:t>
      </w:r>
      <w:r w:rsidR="00F17EA5">
        <w:t xml:space="preserve"> is highly questionable</w:t>
      </w:r>
      <w:r w:rsidR="00B77764">
        <w:t xml:space="preserve"> and</w:t>
      </w:r>
      <w:r w:rsidR="00C93CBA">
        <w:t xml:space="preserve"> </w:t>
      </w:r>
      <w:r w:rsidR="00C93CBA" w:rsidRPr="00C93CBA">
        <w:t>a potential for uplink coverage improvements is observed only when the system load is low in all co-existing networks in the same frequency band</w:t>
      </w:r>
      <w:r w:rsidR="006D216E">
        <w:t xml:space="preserve"> [1]</w:t>
      </w:r>
      <w:r w:rsidR="00082C26">
        <w:t>.</w:t>
      </w:r>
      <w:r w:rsidR="00F17EA5">
        <w:t xml:space="preserve"> </w:t>
      </w:r>
      <w:r w:rsidR="00F44DFC">
        <w:t>The reasons for the lack of feasibility and gain come from high</w:t>
      </w:r>
      <w:r w:rsidR="00156AFC">
        <w:t xml:space="preserve"> base-station</w:t>
      </w:r>
      <w:r w:rsidR="00F44DFC">
        <w:t xml:space="preserve"> </w:t>
      </w:r>
      <w:r w:rsidR="00156AFC">
        <w:t>(</w:t>
      </w:r>
      <w:r w:rsidR="00F44DFC">
        <w:t>BS</w:t>
      </w:r>
      <w:r w:rsidR="00156AFC">
        <w:t>)</w:t>
      </w:r>
      <w:r w:rsidR="00F44DFC">
        <w:t xml:space="preserve"> output power</w:t>
      </w:r>
      <w:r w:rsidR="009C19F2">
        <w:t xml:space="preserve">, and also from interference in SBFD slots from other sectors and </w:t>
      </w:r>
      <w:r w:rsidR="00156AFC">
        <w:t>BSs</w:t>
      </w:r>
      <w:r w:rsidR="00C923A8">
        <w:t xml:space="preserve"> of the same as well as </w:t>
      </w:r>
      <w:r w:rsidR="00233AE6">
        <w:t>other operators</w:t>
      </w:r>
      <w:r w:rsidR="009C19F2">
        <w:t>, both co-located and at other sites.</w:t>
      </w:r>
    </w:p>
    <w:p w14:paraId="59D82106" w14:textId="28FEEBCC" w:rsidR="009C19F2" w:rsidRDefault="00AB6BBB" w:rsidP="00CE0424">
      <w:pPr>
        <w:pStyle w:val="BodyText"/>
      </w:pPr>
      <w:r>
        <w:t xml:space="preserve">There may be more potential for SBFD to be a useful technology for small cell scenarios, where </w:t>
      </w:r>
      <w:r w:rsidR="0025069F">
        <w:t xml:space="preserve">BS </w:t>
      </w:r>
      <w:r w:rsidR="00AB1E0F">
        <w:t xml:space="preserve">have </w:t>
      </w:r>
      <w:r>
        <w:t xml:space="preserve">lower </w:t>
      </w:r>
      <w:r w:rsidR="00AB1E0F">
        <w:t xml:space="preserve">output </w:t>
      </w:r>
      <w:r>
        <w:t xml:space="preserve">power and can be isolated </w:t>
      </w:r>
      <w:r w:rsidR="00AB1E0F">
        <w:t xml:space="preserve">better </w:t>
      </w:r>
      <w:r>
        <w:t>from other cell</w:t>
      </w:r>
      <w:r w:rsidR="00AB1E0F">
        <w:t>s</w:t>
      </w:r>
      <w:r>
        <w:t xml:space="preserve"> and other operators, and for FR2.</w:t>
      </w:r>
      <w:r w:rsidR="006B7B3D">
        <w:t xml:space="preserve"> For such scenarios, even where gain can be seen, a similar gain can be obtained with a simple adjustment to the TDD pattern, without the need for new hardware or for changes in the specification [1].</w:t>
      </w:r>
    </w:p>
    <w:p w14:paraId="55365B5D" w14:textId="55844C2C" w:rsidR="001C2AD4" w:rsidRDefault="001C2AD4" w:rsidP="00CE0424">
      <w:pPr>
        <w:pStyle w:val="BodyText"/>
      </w:pPr>
      <w:r>
        <w:t>During the Rel-19 workshop in Taipei, the following conclusion was reached on Duplexing Evolution</w:t>
      </w:r>
      <w:r w:rsidR="00431F8B">
        <w:t xml:space="preserve"> in the endorsed summary</w:t>
      </w:r>
      <w:r>
        <w:t>:</w:t>
      </w:r>
    </w:p>
    <w:p w14:paraId="37D463A8" w14:textId="77777777" w:rsidR="004B2733" w:rsidRPr="004B2733" w:rsidRDefault="004B2733" w:rsidP="004B2733">
      <w:pPr>
        <w:pStyle w:val="BodyText"/>
        <w:numPr>
          <w:ilvl w:val="0"/>
          <w:numId w:val="23"/>
        </w:numPr>
      </w:pPr>
      <w:r w:rsidRPr="004B2733">
        <w:t>Normative work is expected after the successful completion of the Rel-18 SI</w:t>
      </w:r>
    </w:p>
    <w:p w14:paraId="69FFF5B3" w14:textId="77777777" w:rsidR="004B2733" w:rsidRPr="004B2733" w:rsidRDefault="004B2733" w:rsidP="004B2733">
      <w:pPr>
        <w:pStyle w:val="BodyText"/>
        <w:numPr>
          <w:ilvl w:val="1"/>
          <w:numId w:val="23"/>
        </w:numPr>
      </w:pPr>
      <w:r w:rsidRPr="004B2733">
        <w:t>Expect to focus on non-overlapped Sub-band Full-Duplex (SBFD) at gNB and cross-link-interference (CLI) related areas, based on the study outcome</w:t>
      </w:r>
    </w:p>
    <w:p w14:paraId="1B81D3C8" w14:textId="77777777" w:rsidR="004B2733" w:rsidRPr="004B2733" w:rsidRDefault="004B2733" w:rsidP="004B2733">
      <w:pPr>
        <w:pStyle w:val="BodyText"/>
        <w:numPr>
          <w:ilvl w:val="0"/>
          <w:numId w:val="23"/>
        </w:numPr>
      </w:pPr>
      <w:r w:rsidRPr="004B2733">
        <w:t xml:space="preserve">Is there a strong need to have a parallel study extending to other cases? </w:t>
      </w:r>
    </w:p>
    <w:p w14:paraId="0CFE67D2" w14:textId="5EA66DE1" w:rsidR="004B2733" w:rsidRDefault="004B2733" w:rsidP="004B2733">
      <w:pPr>
        <w:pStyle w:val="BodyText"/>
        <w:numPr>
          <w:ilvl w:val="1"/>
          <w:numId w:val="23"/>
        </w:numPr>
      </w:pPr>
      <w:r w:rsidRPr="004B2733">
        <w:t>E.g., UE side non-overlapped full-duplex, gNB overlapped SBFD, etc.</w:t>
      </w:r>
    </w:p>
    <w:p w14:paraId="19B1B36E" w14:textId="77777777" w:rsidR="008E44E1" w:rsidRDefault="008E44E1" w:rsidP="008E44E1">
      <w:pPr>
        <w:pStyle w:val="BodyText"/>
      </w:pPr>
    </w:p>
    <w:p w14:paraId="511AC221" w14:textId="723AE22B" w:rsidR="008E44E1" w:rsidRPr="00CE0424" w:rsidRDefault="00431F8B" w:rsidP="008E44E1">
      <w:pPr>
        <w:pStyle w:val="BodyText"/>
      </w:pPr>
      <w:r>
        <w:t xml:space="preserve">This contribution presents some considerations </w:t>
      </w:r>
      <w:r w:rsidR="00085D51">
        <w:t>for normative work.</w:t>
      </w:r>
    </w:p>
    <w:p w14:paraId="3E01E0AF" w14:textId="6061AC65" w:rsidR="00085D51" w:rsidRDefault="00230D18" w:rsidP="00085D51">
      <w:pPr>
        <w:pStyle w:val="Heading1"/>
      </w:pPr>
      <w:bookmarkStart w:id="0" w:name="_Ref178064866"/>
      <w:r>
        <w:t>2</w:t>
      </w:r>
      <w:r>
        <w:tab/>
      </w:r>
      <w:r w:rsidR="004000E8" w:rsidRPr="00CE0424">
        <w:t>Discussion</w:t>
      </w:r>
      <w:bookmarkEnd w:id="0"/>
    </w:p>
    <w:p w14:paraId="35EB090D" w14:textId="5F2A210F" w:rsidR="00F63950" w:rsidRDefault="00230D18" w:rsidP="00F63950">
      <w:pPr>
        <w:pStyle w:val="Heading2"/>
      </w:pPr>
      <w:r>
        <w:t>2.1</w:t>
      </w:r>
      <w:r>
        <w:tab/>
      </w:r>
      <w:r w:rsidR="004D35E8">
        <w:t xml:space="preserve">On </w:t>
      </w:r>
      <w:r w:rsidR="00B8260A">
        <w:t xml:space="preserve">the scope of a SBFD </w:t>
      </w:r>
      <w:r w:rsidR="00FF7646">
        <w:t>Work Item (</w:t>
      </w:r>
      <w:r w:rsidR="00B8260A">
        <w:t>WI</w:t>
      </w:r>
      <w:r w:rsidR="00FF7646">
        <w:t>)</w:t>
      </w:r>
    </w:p>
    <w:p w14:paraId="0D7FD96C" w14:textId="5B70A586" w:rsidR="009179EA" w:rsidRDefault="002F41BA" w:rsidP="00CE0424">
      <w:pPr>
        <w:pStyle w:val="BodyText"/>
      </w:pPr>
      <w:r>
        <w:t xml:space="preserve">SBFD has been studied for both FR1 and FR2. For FR1, </w:t>
      </w:r>
      <w:r w:rsidR="00FF1487">
        <w:t xml:space="preserve">self-interference suppression is feasible for medium to low power nodes, and some deployment scenarios </w:t>
      </w:r>
      <w:r w:rsidR="009D7521">
        <w:t xml:space="preserve">which </w:t>
      </w:r>
      <w:r w:rsidR="00FF1487">
        <w:t>may not involve sectorization and may isolate the network from other operators. For FR2, self-interference suppression is feasible for output powers up to around 30-33</w:t>
      </w:r>
      <w:r w:rsidR="00D50A5C">
        <w:t xml:space="preserve"> </w:t>
      </w:r>
      <w:r w:rsidR="00FF1487">
        <w:t>dBm TRP</w:t>
      </w:r>
      <w:r w:rsidR="00501AC1">
        <w:t xml:space="preserve">, and again non-sectorized deployments may be envisaged. Since both frequency ranges have been considered as part of the </w:t>
      </w:r>
      <w:r w:rsidR="00D41765">
        <w:t>SI</w:t>
      </w:r>
      <w:r w:rsidR="00501AC1">
        <w:t xml:space="preserve">, </w:t>
      </w:r>
      <w:r w:rsidR="00417F80">
        <w:t xml:space="preserve">a </w:t>
      </w:r>
      <w:r w:rsidR="00886595">
        <w:t>related</w:t>
      </w:r>
      <w:r w:rsidR="00417F80">
        <w:t xml:space="preserve"> </w:t>
      </w:r>
      <w:r w:rsidR="00D41765">
        <w:t>WI</w:t>
      </w:r>
      <w:r w:rsidR="00490E26">
        <w:t xml:space="preserve"> </w:t>
      </w:r>
      <w:r w:rsidR="00AE6D9A">
        <w:t>should also consider both FR1 and FR2.</w:t>
      </w:r>
    </w:p>
    <w:p w14:paraId="4A559764" w14:textId="07F652EF" w:rsidR="001E0409" w:rsidRDefault="001E0409" w:rsidP="001E0409">
      <w:pPr>
        <w:pStyle w:val="Proposal"/>
      </w:pPr>
      <w:bookmarkStart w:id="1" w:name="_Toc144728174"/>
      <w:r>
        <w:t xml:space="preserve">A WI </w:t>
      </w:r>
      <w:r w:rsidR="005F233B">
        <w:t xml:space="preserve">on SBFD </w:t>
      </w:r>
      <w:r>
        <w:t>should address both FR1 and FR2</w:t>
      </w:r>
      <w:r w:rsidR="003A0545">
        <w:t>.</w:t>
      </w:r>
      <w:bookmarkEnd w:id="1"/>
    </w:p>
    <w:p w14:paraId="3A2BB663" w14:textId="6D6B607C" w:rsidR="00085D51" w:rsidRDefault="002C5F31" w:rsidP="00CE0424">
      <w:pPr>
        <w:pStyle w:val="BodyText"/>
      </w:pPr>
      <w:r>
        <w:lastRenderedPageBreak/>
        <w:t xml:space="preserve">During the </w:t>
      </w:r>
      <w:r w:rsidR="002E7C2C">
        <w:t>SI,</w:t>
      </w:r>
      <w:r>
        <w:t xml:space="preserve"> it has been </w:t>
      </w:r>
      <w:r w:rsidR="00780330">
        <w:t xml:space="preserve">established </w:t>
      </w:r>
      <w:r>
        <w:t xml:space="preserve">that </w:t>
      </w:r>
      <w:r w:rsidR="00D33611">
        <w:t xml:space="preserve">SBFD for medium range and low power nodes is feasible to build (albeit with increases in the size of the </w:t>
      </w:r>
      <w:r w:rsidR="00E643D4">
        <w:t xml:space="preserve">BS </w:t>
      </w:r>
      <w:r w:rsidR="00D33611">
        <w:t>and some other aspects such as power consumption).</w:t>
      </w:r>
      <w:r w:rsidR="00DC0A87">
        <w:t xml:space="preserve"> If a low power node can be located in a non-sectorized deployment with isolation from other operators</w:t>
      </w:r>
      <w:r w:rsidR="00904BA0">
        <w:t>’</w:t>
      </w:r>
      <w:r w:rsidR="00DC0A87">
        <w:t xml:space="preserve"> networks</w:t>
      </w:r>
      <w:r w:rsidR="007F78BB">
        <w:t>,</w:t>
      </w:r>
      <w:r w:rsidR="00DC0A87">
        <w:t xml:space="preserve"> then</w:t>
      </w:r>
      <w:r w:rsidR="00A81DF3">
        <w:t xml:space="preserve"> the potential to </w:t>
      </w:r>
      <w:r w:rsidR="00A81FE6">
        <w:t xml:space="preserve">enhance </w:t>
      </w:r>
      <w:r w:rsidR="00A81DF3">
        <w:t xml:space="preserve">the uplink is </w:t>
      </w:r>
      <w:r w:rsidR="00A81FE6">
        <w:t>improved</w:t>
      </w:r>
      <w:r w:rsidR="00A81DF3">
        <w:t>.</w:t>
      </w:r>
    </w:p>
    <w:p w14:paraId="06938B1F" w14:textId="6DBC7064" w:rsidR="00A81DF3" w:rsidRDefault="00A81DF3" w:rsidP="00CE0424">
      <w:pPr>
        <w:pStyle w:val="BodyText"/>
      </w:pPr>
      <w:r>
        <w:t>For high power nodes, feasibility is controversial (in our view, it is not feasible) and for sectorized deployments</w:t>
      </w:r>
      <w:r w:rsidR="00684EA8">
        <w:t>, inter-sector interference destroys the performance for realistic site deployments.</w:t>
      </w:r>
    </w:p>
    <w:p w14:paraId="7323F17A" w14:textId="05665E34" w:rsidR="00684EA8" w:rsidRDefault="00B362DB" w:rsidP="00CE0424">
      <w:pPr>
        <w:pStyle w:val="BodyText"/>
      </w:pPr>
      <w:r>
        <w:t>For FR2</w:t>
      </w:r>
      <w:r w:rsidR="00243CCB">
        <w:t>, there may be potential for SBFD when considering output power up to around 30-33</w:t>
      </w:r>
      <w:r w:rsidR="00196335">
        <w:t xml:space="preserve"> </w:t>
      </w:r>
      <w:r w:rsidR="00243CCB">
        <w:t>dBm.</w:t>
      </w:r>
    </w:p>
    <w:p w14:paraId="1338A9DC" w14:textId="4008550A" w:rsidR="00243CCB" w:rsidRDefault="00243CCB" w:rsidP="00CE0424">
      <w:pPr>
        <w:pStyle w:val="BodyText"/>
      </w:pPr>
      <w:r>
        <w:t xml:space="preserve">With </w:t>
      </w:r>
      <w:r w:rsidR="003B0313">
        <w:t xml:space="preserve">the above </w:t>
      </w:r>
      <w:r>
        <w:t>in mind, in our view, any optimizations when considering SBFD should focus on low power FR1 and on FR2 scenarios.</w:t>
      </w:r>
    </w:p>
    <w:p w14:paraId="4C81FFA1" w14:textId="4E4A0CCC" w:rsidR="007243A4" w:rsidRDefault="007243A4" w:rsidP="007243A4">
      <w:pPr>
        <w:pStyle w:val="Proposal"/>
      </w:pPr>
      <w:bookmarkStart w:id="2" w:name="_Toc144728175"/>
      <w:r>
        <w:t>SBFD should focus on and be optimized for low power FR1 and FR2</w:t>
      </w:r>
      <w:r w:rsidR="00DE0CD5">
        <w:t xml:space="preserve"> scenarios</w:t>
      </w:r>
      <w:r>
        <w:t xml:space="preserve">. </w:t>
      </w:r>
      <w:r w:rsidR="008615A4">
        <w:t>Do not</w:t>
      </w:r>
      <w:r>
        <w:t xml:space="preserve"> optimize for FR1 wide area.</w:t>
      </w:r>
      <w:bookmarkEnd w:id="2"/>
    </w:p>
    <w:p w14:paraId="79345D4D" w14:textId="77777777" w:rsidR="007243A4" w:rsidRDefault="007243A4" w:rsidP="00CE0424">
      <w:pPr>
        <w:pStyle w:val="BodyText"/>
      </w:pPr>
    </w:p>
    <w:p w14:paraId="65EA8781" w14:textId="4B6160F1" w:rsidR="008F08E4" w:rsidRDefault="00033A4F" w:rsidP="00CE0424">
      <w:pPr>
        <w:pStyle w:val="BodyText"/>
      </w:pPr>
      <w:r>
        <w:t xml:space="preserve">The </w:t>
      </w:r>
      <w:r w:rsidR="002E7C2C">
        <w:t>SI</w:t>
      </w:r>
      <w:r>
        <w:t xml:space="preserve"> has focused upon </w:t>
      </w:r>
      <w:r w:rsidR="00B167C8">
        <w:t>coverage enhancements for P</w:t>
      </w:r>
      <w:r w:rsidR="006B6123">
        <w:t>U</w:t>
      </w:r>
      <w:r w:rsidR="00B167C8">
        <w:t>SCH</w:t>
      </w:r>
      <w:r w:rsidR="00780330">
        <w:t>/PUCCH</w:t>
      </w:r>
      <w:r w:rsidR="00B167C8">
        <w:t xml:space="preserve"> in connected mode. </w:t>
      </w:r>
      <w:r w:rsidR="00B15103">
        <w:t xml:space="preserve">Potential issues and gains for operation in </w:t>
      </w:r>
      <w:r w:rsidR="00AD5C71">
        <w:t xml:space="preserve">IDLE </w:t>
      </w:r>
      <w:r w:rsidR="00B15103">
        <w:t xml:space="preserve">mode and for PRACH transmissions have not been </w:t>
      </w:r>
      <w:r w:rsidR="00FE7DF0">
        <w:t xml:space="preserve">identified </w:t>
      </w:r>
      <w:r w:rsidR="00B15103">
        <w:t xml:space="preserve">in detail. </w:t>
      </w:r>
    </w:p>
    <w:p w14:paraId="378CFD97" w14:textId="4EE297E8" w:rsidR="0005424C" w:rsidRDefault="00B167C8" w:rsidP="00CE0424">
      <w:pPr>
        <w:pStyle w:val="BodyText"/>
      </w:pPr>
      <w:r>
        <w:t>It has also assumed that all nodes in the network apply the same SBFD pattern</w:t>
      </w:r>
      <w:r w:rsidR="00421B86">
        <w:t xml:space="preserve"> with the same </w:t>
      </w:r>
      <w:r w:rsidR="00336615">
        <w:t>resource blocks (</w:t>
      </w:r>
      <w:r w:rsidR="00421B86">
        <w:t>RBs</w:t>
      </w:r>
      <w:r w:rsidR="00336615">
        <w:t>)</w:t>
      </w:r>
      <w:r w:rsidR="00421B86">
        <w:t xml:space="preserve"> used for SBFD</w:t>
      </w:r>
      <w:r w:rsidR="0005424C">
        <w:t xml:space="preserve"> for the evaluations of semi-static SBFD</w:t>
      </w:r>
      <w:r w:rsidR="00421B86">
        <w:t>.</w:t>
      </w:r>
    </w:p>
    <w:p w14:paraId="690C50C8" w14:textId="0DFC778E" w:rsidR="009A6C3C" w:rsidRDefault="00421B86" w:rsidP="00CE0424">
      <w:pPr>
        <w:pStyle w:val="BodyText"/>
      </w:pPr>
      <w:r>
        <w:t>In case different RBs would be used for SBFD</w:t>
      </w:r>
      <w:r w:rsidR="00444898">
        <w:t xml:space="preserve"> at different gNB</w:t>
      </w:r>
      <w:r w:rsidR="00336615">
        <w:t>s</w:t>
      </w:r>
      <w:r w:rsidR="00444898">
        <w:t xml:space="preserve">, severe cross link interference </w:t>
      </w:r>
      <w:r w:rsidR="00DB6C25">
        <w:t>(CLI)</w:t>
      </w:r>
      <w:r w:rsidR="00444898">
        <w:t xml:space="preserve"> would result</w:t>
      </w:r>
      <w:r w:rsidR="002D2F19">
        <w:t xml:space="preserve">. Furthermore, adjusting the RBs used for </w:t>
      </w:r>
      <w:r w:rsidR="00393566">
        <w:t>SBFD</w:t>
      </w:r>
      <w:r w:rsidR="0066332C">
        <w:t xml:space="preserve"> on a dynamic basis</w:t>
      </w:r>
      <w:r w:rsidR="00393566">
        <w:t xml:space="preserve"> would lead to the need for rapid switching of </w:t>
      </w:r>
      <w:r w:rsidR="008B714B">
        <w:t xml:space="preserve">analog and/or </w:t>
      </w:r>
      <w:r w:rsidR="00393566">
        <w:t>digital filters and associated issues with transients etc.</w:t>
      </w:r>
    </w:p>
    <w:p w14:paraId="3CDC8F87" w14:textId="71D0ECF7" w:rsidR="00AD5C71" w:rsidRDefault="00AD5C71" w:rsidP="00CE0424">
      <w:pPr>
        <w:pStyle w:val="BodyText"/>
        <w:rPr>
          <w:lang w:val="en-GB"/>
        </w:rPr>
      </w:pPr>
      <w:r>
        <w:rPr>
          <w:lang w:val="en-GB"/>
        </w:rPr>
        <w:t xml:space="preserve">During the </w:t>
      </w:r>
      <w:r w:rsidR="002E7C2C">
        <w:rPr>
          <w:lang w:val="en-GB"/>
        </w:rPr>
        <w:t>SI</w:t>
      </w:r>
      <w:r>
        <w:rPr>
          <w:lang w:val="en-GB"/>
        </w:rPr>
        <w:t>, dynamic SBFD was discussed</w:t>
      </w:r>
      <w:r w:rsidR="00E55DDA">
        <w:rPr>
          <w:lang w:val="en-GB"/>
        </w:rPr>
        <w:t>, but no conclusions/recommendations were drawn.</w:t>
      </w:r>
      <w:r>
        <w:rPr>
          <w:lang w:val="en-GB"/>
        </w:rPr>
        <w:t xml:space="preserve"> </w:t>
      </w:r>
      <w:r w:rsidR="00E55DDA">
        <w:rPr>
          <w:lang w:val="en-GB"/>
        </w:rPr>
        <w:t>In dynamic SBFD,</w:t>
      </w:r>
      <w:r>
        <w:rPr>
          <w:lang w:val="en-GB"/>
        </w:rPr>
        <w:t xml:space="preserve"> the transmission direction for semi-statically configured sub</w:t>
      </w:r>
      <w:r w:rsidR="00825048">
        <w:rPr>
          <w:lang w:val="en-GB"/>
        </w:rPr>
        <w:t>-</w:t>
      </w:r>
      <w:r>
        <w:rPr>
          <w:lang w:val="en-GB"/>
        </w:rPr>
        <w:t>bands is overridden to support DL transmission in an UL sub</w:t>
      </w:r>
      <w:r w:rsidR="00825048">
        <w:rPr>
          <w:lang w:val="en-GB"/>
        </w:rPr>
        <w:t>-</w:t>
      </w:r>
      <w:r>
        <w:rPr>
          <w:lang w:val="en-GB"/>
        </w:rPr>
        <w:t>band and/or UL transmission in a DL sub</w:t>
      </w:r>
      <w:r w:rsidR="00825048">
        <w:rPr>
          <w:lang w:val="en-GB"/>
        </w:rPr>
        <w:t>-</w:t>
      </w:r>
      <w:r>
        <w:rPr>
          <w:lang w:val="en-GB"/>
        </w:rPr>
        <w:t>band. We have found that dynamic TDD supported by current specifications performs equally or better than dynamic SBFD and has significantly lower complexity</w:t>
      </w:r>
      <w:r w:rsidR="00E55DDA">
        <w:rPr>
          <w:lang w:val="en-GB"/>
        </w:rPr>
        <w:t>. We note that</w:t>
      </w:r>
      <w:r w:rsidR="00D673A2">
        <w:rPr>
          <w:lang w:val="en-GB"/>
        </w:rPr>
        <w:t>, apart from</w:t>
      </w:r>
      <w:r w:rsidR="005C66E1">
        <w:rPr>
          <w:lang w:val="en-GB"/>
        </w:rPr>
        <w:t xml:space="preserve"> at low load levels, neither dynamic TDD nor </w:t>
      </w:r>
      <w:r w:rsidR="00E55DDA">
        <w:rPr>
          <w:lang w:val="en-GB"/>
        </w:rPr>
        <w:t xml:space="preserve">dynamic </w:t>
      </w:r>
      <w:r w:rsidR="005C66E1">
        <w:rPr>
          <w:lang w:val="en-GB"/>
        </w:rPr>
        <w:t>SBFD show gains</w:t>
      </w:r>
      <w:r w:rsidR="00A87AAC">
        <w:rPr>
          <w:lang w:val="en-GB"/>
        </w:rPr>
        <w:t xml:space="preserve"> in high power outdoor deployments</w:t>
      </w:r>
      <w:r>
        <w:rPr>
          <w:lang w:val="en-GB"/>
        </w:rPr>
        <w:t>.</w:t>
      </w:r>
    </w:p>
    <w:p w14:paraId="3BA69912" w14:textId="4D1D44A1" w:rsidR="00393566" w:rsidRDefault="00393566" w:rsidP="00CE0424">
      <w:pPr>
        <w:pStyle w:val="BodyText"/>
      </w:pPr>
      <w:r>
        <w:t>For th</w:t>
      </w:r>
      <w:r w:rsidR="00B15103">
        <w:t>ese reasons</w:t>
      </w:r>
      <w:r w:rsidR="00E642A8">
        <w:t xml:space="preserve">, and considering the overall workload for Rel-19, in our view </w:t>
      </w:r>
      <w:r w:rsidR="009C50F8">
        <w:t xml:space="preserve">a </w:t>
      </w:r>
      <w:r w:rsidR="00CF3413">
        <w:t xml:space="preserve">related </w:t>
      </w:r>
      <w:r w:rsidR="00E642A8">
        <w:t>normative work should focus on semi-static SBFD operating in connected mode</w:t>
      </w:r>
      <w:r w:rsidR="00DA3243">
        <w:t xml:space="preserve"> and on P</w:t>
      </w:r>
      <w:r w:rsidR="006B6123">
        <w:t>U</w:t>
      </w:r>
      <w:r w:rsidR="00DA3243">
        <w:t>SCH</w:t>
      </w:r>
      <w:r w:rsidR="00E55DDA">
        <w:t>/PUCCH</w:t>
      </w:r>
      <w:r w:rsidR="00E642A8">
        <w:t>.</w:t>
      </w:r>
    </w:p>
    <w:p w14:paraId="1BC16023" w14:textId="46610BD5" w:rsidR="003A0545" w:rsidRDefault="003A0545" w:rsidP="003A0545">
      <w:pPr>
        <w:pStyle w:val="Proposal"/>
      </w:pPr>
      <w:bookmarkStart w:id="3" w:name="_Toc144728176"/>
      <w:r>
        <w:t>A WI on SBFD should consider semi-static SBFD</w:t>
      </w:r>
      <w:r w:rsidR="006B6123">
        <w:t xml:space="preserve"> only. Dynamic SBFD is out of scope</w:t>
      </w:r>
      <w:r w:rsidR="00A03DAF">
        <w:t>.</w:t>
      </w:r>
      <w:bookmarkEnd w:id="3"/>
    </w:p>
    <w:p w14:paraId="7D4DBA5D" w14:textId="7BAC25D1" w:rsidR="003A0545" w:rsidRDefault="003A0545" w:rsidP="003A0545">
      <w:pPr>
        <w:pStyle w:val="Proposal"/>
      </w:pPr>
      <w:bookmarkStart w:id="4" w:name="_Toc144728177"/>
      <w:r>
        <w:t xml:space="preserve">A WI on SBFD should consider </w:t>
      </w:r>
      <w:r w:rsidR="006B6123">
        <w:t>CONNECTED mode only. SBFD operation in IDLE/INACTIVE mode is out of scope</w:t>
      </w:r>
      <w:r w:rsidR="00A03DAF">
        <w:t>.</w:t>
      </w:r>
      <w:bookmarkEnd w:id="4"/>
    </w:p>
    <w:p w14:paraId="41E26BE6" w14:textId="6B958DEB" w:rsidR="00DA3243" w:rsidRDefault="00DA3243" w:rsidP="00CE0424">
      <w:pPr>
        <w:pStyle w:val="BodyText"/>
      </w:pPr>
    </w:p>
    <w:p w14:paraId="1F88762D" w14:textId="771FC3C0" w:rsidR="002E1AF1" w:rsidRDefault="002E1AF1" w:rsidP="002E1AF1">
      <w:pPr>
        <w:pStyle w:val="BodyText"/>
        <w:rPr>
          <w:lang w:val="en-GB"/>
        </w:rPr>
      </w:pPr>
      <w:r>
        <w:rPr>
          <w:lang w:val="en-GB"/>
        </w:rPr>
        <w:t xml:space="preserve">During the </w:t>
      </w:r>
      <w:r w:rsidR="002E7C2C">
        <w:rPr>
          <w:lang w:val="en-GB"/>
        </w:rPr>
        <w:t>SI</w:t>
      </w:r>
      <w:r>
        <w:rPr>
          <w:lang w:val="en-GB"/>
        </w:rPr>
        <w:t xml:space="preserve">, PDCCH enhancements for SBFD operation were discussed. In our view, PDCCH </w:t>
      </w:r>
      <w:r w:rsidR="001D3892">
        <w:rPr>
          <w:lang w:val="en-GB"/>
        </w:rPr>
        <w:t>enhancements are</w:t>
      </w:r>
      <w:r>
        <w:rPr>
          <w:lang w:val="en-GB"/>
        </w:rPr>
        <w:t xml:space="preserve"> not motivated due to the considerable flexibility of existing specifications on CORESET and search space configuration. Avoiding such enhancements can also serve to limit additional UE complexity incurred by SBFD operation.</w:t>
      </w:r>
    </w:p>
    <w:p w14:paraId="583CC9BF" w14:textId="77777777" w:rsidR="002E1AF1" w:rsidRDefault="002E1AF1" w:rsidP="002E1AF1">
      <w:pPr>
        <w:pStyle w:val="Proposal"/>
      </w:pPr>
      <w:bookmarkStart w:id="5" w:name="_Toc144728178"/>
      <w:r>
        <w:t>PDCCH enhancements for SBFD operation are out of scope in normative work.</w:t>
      </w:r>
      <w:bookmarkEnd w:id="5"/>
    </w:p>
    <w:p w14:paraId="06821B0D" w14:textId="77777777" w:rsidR="002E1AF1" w:rsidRDefault="002E1AF1" w:rsidP="00CE0424">
      <w:pPr>
        <w:pStyle w:val="BodyText"/>
      </w:pPr>
    </w:p>
    <w:p w14:paraId="0C0741F7" w14:textId="2584ADB0" w:rsidR="00747BE4" w:rsidRDefault="00535974" w:rsidP="00CE0424">
      <w:pPr>
        <w:pStyle w:val="BodyText"/>
      </w:pPr>
      <w:r>
        <w:t xml:space="preserve">From a deployment perspective, </w:t>
      </w:r>
      <w:r w:rsidR="00B87F1F">
        <w:t xml:space="preserve">an SBFD BS must not cause interference towards other operators. If UL slots would be used for SBFD operation then the BS would need to create and transmit in </w:t>
      </w:r>
      <w:r w:rsidR="009E37A3">
        <w:t xml:space="preserve">downlink </w:t>
      </w:r>
      <w:r w:rsidR="0055783A">
        <w:t>RBs</w:t>
      </w:r>
      <w:r w:rsidR="009E37A3">
        <w:t xml:space="preserve"> </w:t>
      </w:r>
      <w:r w:rsidR="00747BE4">
        <w:t xml:space="preserve">during uplink slots. This would cause gNB-gNB interference towards other operators, in </w:t>
      </w:r>
      <w:r w:rsidR="00244DE3">
        <w:t>a similar</w:t>
      </w:r>
      <w:r w:rsidR="00747BE4">
        <w:t xml:space="preserve"> manner as dynamic TDD.</w:t>
      </w:r>
      <w:r w:rsidR="00AD5C71">
        <w:t xml:space="preserve"> </w:t>
      </w:r>
      <w:r w:rsidR="00747BE4">
        <w:t xml:space="preserve">Furthermore, since the aim of SBFD </w:t>
      </w:r>
      <w:r w:rsidR="001D26D8">
        <w:t xml:space="preserve">is to improve uplink coverage, there is no value in </w:t>
      </w:r>
      <w:r w:rsidR="00264744">
        <w:t>using slots already assigned for uplink for SBFD.</w:t>
      </w:r>
    </w:p>
    <w:p w14:paraId="2144A2F8" w14:textId="7937840B" w:rsidR="00264744" w:rsidRDefault="00264744" w:rsidP="00CE0424">
      <w:pPr>
        <w:pStyle w:val="BodyText"/>
      </w:pPr>
      <w:r>
        <w:t xml:space="preserve">To avoid the potential for inter-operator interference impacting victim operators and to maximize the potential of the gains, </w:t>
      </w:r>
      <w:r w:rsidR="00162591">
        <w:t xml:space="preserve">a </w:t>
      </w:r>
      <w:r>
        <w:t>WI should assume that DL slots or symbols are allocated for SBFD, but not UL slots or symbols.</w:t>
      </w:r>
    </w:p>
    <w:p w14:paraId="2B5F2F72" w14:textId="4407CD85" w:rsidR="00804A7F" w:rsidRDefault="00804A7F" w:rsidP="00804A7F">
      <w:pPr>
        <w:pStyle w:val="Proposal"/>
      </w:pPr>
      <w:bookmarkStart w:id="6" w:name="_Toc144728179"/>
      <w:r>
        <w:t xml:space="preserve">A WI on SBFD should assume only </w:t>
      </w:r>
      <w:r w:rsidR="00AD5C71">
        <w:t xml:space="preserve">legacy </w:t>
      </w:r>
      <w:r>
        <w:t xml:space="preserve">DL slots are used </w:t>
      </w:r>
      <w:r w:rsidR="00AD5C71">
        <w:t xml:space="preserve">for </w:t>
      </w:r>
      <w:r>
        <w:t xml:space="preserve">SBFD </w:t>
      </w:r>
      <w:r w:rsidR="00AD5C71">
        <w:t>operation</w:t>
      </w:r>
      <w:r w:rsidR="002A2297">
        <w:t>.</w:t>
      </w:r>
      <w:bookmarkEnd w:id="6"/>
    </w:p>
    <w:p w14:paraId="28698315" w14:textId="18A59F0E" w:rsidR="009179EA" w:rsidRDefault="00307610" w:rsidP="00CE0424">
      <w:pPr>
        <w:pStyle w:val="BodyText"/>
      </w:pPr>
      <w:r>
        <w:lastRenderedPageBreak/>
        <w:t xml:space="preserve">The </w:t>
      </w:r>
      <w:r w:rsidR="002E7C2C">
        <w:t>SI</w:t>
      </w:r>
      <w:r w:rsidR="006109A0">
        <w:t xml:space="preserve"> </w:t>
      </w:r>
      <w:r>
        <w:t>has</w:t>
      </w:r>
      <w:r w:rsidR="00303656">
        <w:t xml:space="preserve"> </w:t>
      </w:r>
      <w:r w:rsidR="007C09BC">
        <w:t xml:space="preserve">considered </w:t>
      </w:r>
      <w:r w:rsidR="006C1413">
        <w:t>half-duplex at the UE</w:t>
      </w:r>
      <w:r w:rsidR="00593816">
        <w:t xml:space="preserve">. </w:t>
      </w:r>
      <w:r w:rsidR="006E23FE">
        <w:t xml:space="preserve">A related </w:t>
      </w:r>
      <w:r w:rsidR="00DB7C4A">
        <w:t>normative work should follow the assumption of half duplex at the UE.</w:t>
      </w:r>
    </w:p>
    <w:p w14:paraId="72FF3E26" w14:textId="3117B71F" w:rsidR="00804A7F" w:rsidRDefault="00804A7F" w:rsidP="00804A7F">
      <w:pPr>
        <w:pStyle w:val="Proposal"/>
      </w:pPr>
      <w:bookmarkStart w:id="7" w:name="_Toc144728180"/>
      <w:r>
        <w:t>A WI on SBFD should assume half-duplex at the UE</w:t>
      </w:r>
      <w:r w:rsidR="00EC0338">
        <w:t>.</w:t>
      </w:r>
      <w:bookmarkEnd w:id="7"/>
    </w:p>
    <w:p w14:paraId="72866D82" w14:textId="77777777" w:rsidR="00DB7C4A" w:rsidRDefault="00DB7C4A" w:rsidP="00CE0424">
      <w:pPr>
        <w:pStyle w:val="BodyText"/>
      </w:pPr>
    </w:p>
    <w:p w14:paraId="426A9194" w14:textId="71DAC603" w:rsidR="00DB7C4A" w:rsidRDefault="00DB7C4A" w:rsidP="00CE0424">
      <w:pPr>
        <w:pStyle w:val="BodyText"/>
      </w:pPr>
      <w:r>
        <w:t>Some companies have proposed to study</w:t>
      </w:r>
      <w:r w:rsidR="00174C19">
        <w:t xml:space="preserve"> SBFD at the UE, or also potentially fully overlapping full duplex. </w:t>
      </w:r>
      <w:r w:rsidR="001313EA">
        <w:t xml:space="preserve">However, the June workshop outcome </w:t>
      </w:r>
      <w:r w:rsidR="0017055C">
        <w:t>questioned whether there is a strong</w:t>
      </w:r>
      <w:r w:rsidR="001E58F7">
        <w:t xml:space="preserve"> need</w:t>
      </w:r>
      <w:r w:rsidR="0017055C">
        <w:t xml:space="preserve"> for such studies. B</w:t>
      </w:r>
      <w:r w:rsidR="006D741C">
        <w:t>earing in mind that Rel-19 SBFD is not yet standardized, the reasoning to continue study</w:t>
      </w:r>
      <w:r w:rsidR="00485D72">
        <w:t>ing duplex</w:t>
      </w:r>
      <w:r w:rsidR="005056EE">
        <w:t>ing</w:t>
      </w:r>
      <w:r w:rsidR="00485D72">
        <w:t xml:space="preserve"> evolution</w:t>
      </w:r>
      <w:r w:rsidR="006D741C">
        <w:t xml:space="preserve"> does not seem strong. </w:t>
      </w:r>
      <w:r w:rsidR="00867730">
        <w:t xml:space="preserve">In our view, if the decision within RAN is to </w:t>
      </w:r>
      <w:r w:rsidR="00C229DA">
        <w:t>complete a WI on non-overlapping SBFD with half duplex at the UE, then taking into account the overall</w:t>
      </w:r>
      <w:r w:rsidR="00D67847">
        <w:t xml:space="preserve"> package size and time constraints, </w:t>
      </w:r>
      <w:r w:rsidR="0017055C">
        <w:t xml:space="preserve">there should not be a parallel </w:t>
      </w:r>
      <w:r w:rsidR="002E7C2C">
        <w:t>SI</w:t>
      </w:r>
      <w:r w:rsidR="0017055C">
        <w:t xml:space="preserve"> in Rel-19</w:t>
      </w:r>
      <w:r w:rsidR="00D67847">
        <w:t>.</w:t>
      </w:r>
      <w:r w:rsidR="003756B0">
        <w:t xml:space="preserve"> </w:t>
      </w:r>
      <w:r w:rsidR="0017055C">
        <w:t xml:space="preserve">If </w:t>
      </w:r>
      <w:r w:rsidR="00FF250A">
        <w:t>duplex</w:t>
      </w:r>
      <w:r w:rsidR="00E76115">
        <w:t>ing</w:t>
      </w:r>
      <w:r w:rsidR="00FF250A">
        <w:t xml:space="preserve"> evolution</w:t>
      </w:r>
      <w:r w:rsidR="0017055C">
        <w:t xml:space="preserve"> is further studied in later releases, then a reasonable starting point </w:t>
      </w:r>
      <w:r w:rsidR="00C04A0D">
        <w:t>could</w:t>
      </w:r>
      <w:r w:rsidR="0017055C">
        <w:t xml:space="preserve"> be SBFD at the UE</w:t>
      </w:r>
      <w:r w:rsidR="003756B0">
        <w:t xml:space="preserve">, building on </w:t>
      </w:r>
      <w:r w:rsidR="0020340E">
        <w:t>a</w:t>
      </w:r>
      <w:r w:rsidR="003756B0">
        <w:t xml:space="preserve"> Rel-19 WI</w:t>
      </w:r>
      <w:r w:rsidR="0017055C">
        <w:t xml:space="preserve"> for SBFD at the gNB</w:t>
      </w:r>
      <w:r w:rsidR="003756B0">
        <w:t>.</w:t>
      </w:r>
      <w:r w:rsidR="00D67847">
        <w:t xml:space="preserve"> An alternative could be to continue an</w:t>
      </w:r>
      <w:r w:rsidR="00FF250A">
        <w:t>d</w:t>
      </w:r>
      <w:r w:rsidR="00D67847">
        <w:t xml:space="preserve"> extend </w:t>
      </w:r>
      <w:r w:rsidR="0017055C">
        <w:t xml:space="preserve">the </w:t>
      </w:r>
      <w:r w:rsidR="00D67847">
        <w:t>study instead of starting a WI</w:t>
      </w:r>
      <w:r w:rsidR="0017055C">
        <w:t xml:space="preserve"> in Rel-19</w:t>
      </w:r>
      <w:r w:rsidR="00D876CB">
        <w:t>, since a SI would be a useful manner to identify scenarios in which SBFD would be both realistic and bring useful gain that cannot be obtained by other means (e.g. additional UL slot)</w:t>
      </w:r>
      <w:r w:rsidR="000A66B2">
        <w:t>.</w:t>
      </w:r>
    </w:p>
    <w:p w14:paraId="610ADB25" w14:textId="42635B17" w:rsidR="005C450B" w:rsidRDefault="00E55DDA" w:rsidP="005C450B">
      <w:pPr>
        <w:pStyle w:val="Proposal"/>
      </w:pPr>
      <w:bookmarkStart w:id="8" w:name="_Toc144444687"/>
      <w:bookmarkStart w:id="9" w:name="_Toc144450622"/>
      <w:bookmarkStart w:id="10" w:name="_Toc144451341"/>
      <w:bookmarkStart w:id="11" w:name="_Hlk144445036"/>
      <w:bookmarkStart w:id="12" w:name="_Toc144728181"/>
      <w:bookmarkEnd w:id="8"/>
      <w:bookmarkEnd w:id="9"/>
      <w:bookmarkEnd w:id="10"/>
      <w:r>
        <w:t xml:space="preserve">No parallel SI on </w:t>
      </w:r>
      <w:r w:rsidR="00645802">
        <w:t>duplex</w:t>
      </w:r>
      <w:r w:rsidR="005056EE">
        <w:t>ing</w:t>
      </w:r>
      <w:r w:rsidR="00645802">
        <w:t xml:space="preserve"> evolution</w:t>
      </w:r>
      <w:r>
        <w:t xml:space="preserve"> in Rel-19</w:t>
      </w:r>
      <w:r w:rsidR="00BD6714">
        <w:t xml:space="preserve"> (assuming there is a WI)</w:t>
      </w:r>
      <w:r>
        <w:t>.</w:t>
      </w:r>
      <w:bookmarkEnd w:id="12"/>
      <w:r>
        <w:t xml:space="preserve"> </w:t>
      </w:r>
    </w:p>
    <w:p w14:paraId="71685B9E" w14:textId="3D361AA0" w:rsidR="000A66B2" w:rsidRDefault="000A66B2" w:rsidP="005C450B">
      <w:pPr>
        <w:pStyle w:val="Proposal"/>
      </w:pPr>
      <w:bookmarkStart w:id="13" w:name="_Toc144728182"/>
      <w:r>
        <w:t xml:space="preserve">A SI could be started </w:t>
      </w:r>
      <w:r w:rsidR="00D876CB">
        <w:t>on e.g. UE SBFD in place of a WI.</w:t>
      </w:r>
      <w:bookmarkEnd w:id="13"/>
    </w:p>
    <w:p w14:paraId="4E0EED36" w14:textId="0F6C3C80" w:rsidR="005C450B" w:rsidRDefault="00E55DDA" w:rsidP="005C450B">
      <w:pPr>
        <w:pStyle w:val="Proposal"/>
      </w:pPr>
      <w:bookmarkStart w:id="14" w:name="_Toc144728183"/>
      <w:r>
        <w:t xml:space="preserve">If </w:t>
      </w:r>
      <w:r w:rsidR="00BC098D">
        <w:t>duplex</w:t>
      </w:r>
      <w:r w:rsidR="005056EE">
        <w:t>ing</w:t>
      </w:r>
      <w:r w:rsidR="00BC098D">
        <w:t xml:space="preserve"> evolution</w:t>
      </w:r>
      <w:r>
        <w:t xml:space="preserve"> is further studied in later releases, </w:t>
      </w:r>
      <w:r w:rsidR="0017055C">
        <w:t xml:space="preserve">study should start with </w:t>
      </w:r>
      <w:r w:rsidR="005C450B">
        <w:t xml:space="preserve">SBFD </w:t>
      </w:r>
      <w:r w:rsidR="0017055C">
        <w:t>at the UE.</w:t>
      </w:r>
      <w:bookmarkEnd w:id="14"/>
    </w:p>
    <w:bookmarkEnd w:id="11"/>
    <w:p w14:paraId="60E5C0DF" w14:textId="77777777" w:rsidR="00264744" w:rsidRDefault="00264744" w:rsidP="00CE0424">
      <w:pPr>
        <w:pStyle w:val="BodyText"/>
      </w:pPr>
    </w:p>
    <w:p w14:paraId="162625FA" w14:textId="79970AB0" w:rsidR="00F63950" w:rsidRDefault="00230D18" w:rsidP="00F63950">
      <w:pPr>
        <w:pStyle w:val="Heading2"/>
      </w:pPr>
      <w:r>
        <w:t>2.2</w:t>
      </w:r>
      <w:r>
        <w:tab/>
      </w:r>
      <w:r w:rsidR="00B8260A">
        <w:t>Considerations on CLI mitigation</w:t>
      </w:r>
    </w:p>
    <w:p w14:paraId="40BB8634" w14:textId="7F49BB42" w:rsidR="00B8260A" w:rsidRDefault="00640AB7" w:rsidP="00B8260A">
      <w:pPr>
        <w:rPr>
          <w:lang w:val="en-GB" w:eastAsia="ja-JP"/>
        </w:rPr>
      </w:pPr>
      <w:r>
        <w:rPr>
          <w:lang w:val="en-GB" w:eastAsia="ja-JP"/>
        </w:rPr>
        <w:t xml:space="preserve">Even if the self-interference is mitigated, a major source of interference for SBFD is </w:t>
      </w:r>
      <w:r w:rsidR="00057953">
        <w:rPr>
          <w:lang w:val="en-GB" w:eastAsia="ja-JP"/>
        </w:rPr>
        <w:t xml:space="preserve">gNB-gNB </w:t>
      </w:r>
      <w:r w:rsidR="00DB6C25">
        <w:rPr>
          <w:lang w:val="en-GB" w:eastAsia="ja-JP"/>
        </w:rPr>
        <w:t>CLI</w:t>
      </w:r>
      <w:r>
        <w:rPr>
          <w:lang w:val="en-GB" w:eastAsia="ja-JP"/>
        </w:rPr>
        <w:t xml:space="preserve"> from other nodes. </w:t>
      </w:r>
      <w:r w:rsidR="00057953">
        <w:rPr>
          <w:lang w:val="en-GB" w:eastAsia="ja-JP"/>
        </w:rPr>
        <w:t xml:space="preserve">gNB-gNB </w:t>
      </w:r>
      <w:r w:rsidR="00DB6C25">
        <w:rPr>
          <w:lang w:val="en-GB" w:eastAsia="ja-JP"/>
        </w:rPr>
        <w:t>CLI</w:t>
      </w:r>
      <w:r>
        <w:rPr>
          <w:lang w:val="en-GB" w:eastAsia="ja-JP"/>
        </w:rPr>
        <w:t xml:space="preserve"> for SBFD may come from one or more of several sources</w:t>
      </w:r>
      <w:r w:rsidR="00D210D4">
        <w:rPr>
          <w:lang w:val="en-GB" w:eastAsia="ja-JP"/>
        </w:rPr>
        <w:t xml:space="preserve"> either co-sited or from other sites</w:t>
      </w:r>
      <w:r>
        <w:rPr>
          <w:lang w:val="en-GB" w:eastAsia="ja-JP"/>
        </w:rPr>
        <w:t>:</w:t>
      </w:r>
    </w:p>
    <w:p w14:paraId="5044146F" w14:textId="1879C014" w:rsidR="00640AB7" w:rsidRPr="00AB51B4" w:rsidRDefault="00640AB7" w:rsidP="00640AB7">
      <w:pPr>
        <w:pStyle w:val="ListParagraph"/>
        <w:numPr>
          <w:ilvl w:val="0"/>
          <w:numId w:val="24"/>
        </w:numPr>
        <w:rPr>
          <w:rFonts w:ascii="Arial" w:hAnsi="Arial" w:cs="Arial"/>
          <w:sz w:val="20"/>
          <w:szCs w:val="20"/>
          <w:lang w:val="en-GB" w:eastAsia="ja-JP"/>
        </w:rPr>
      </w:pPr>
      <w:r w:rsidRPr="00AB51B4">
        <w:rPr>
          <w:rFonts w:ascii="Arial" w:hAnsi="Arial" w:cs="Arial"/>
          <w:sz w:val="20"/>
          <w:szCs w:val="20"/>
          <w:lang w:val="en-GB" w:eastAsia="ja-JP"/>
        </w:rPr>
        <w:t>The DL sub-band of other gNB</w:t>
      </w:r>
      <w:r w:rsidR="00F4792A">
        <w:rPr>
          <w:rFonts w:ascii="Arial" w:hAnsi="Arial" w:cs="Arial"/>
          <w:sz w:val="20"/>
          <w:szCs w:val="20"/>
          <w:lang w:val="en-GB" w:eastAsia="ja-JP"/>
        </w:rPr>
        <w:t>s</w:t>
      </w:r>
      <w:r w:rsidRPr="00AB51B4">
        <w:rPr>
          <w:rFonts w:ascii="Arial" w:hAnsi="Arial" w:cs="Arial"/>
          <w:sz w:val="20"/>
          <w:szCs w:val="20"/>
          <w:lang w:val="en-GB" w:eastAsia="ja-JP"/>
        </w:rPr>
        <w:t xml:space="preserve"> in the same network that are also operating SBFD</w:t>
      </w:r>
      <w:r w:rsidR="00CE3641" w:rsidRPr="00AB51B4">
        <w:rPr>
          <w:rFonts w:ascii="Arial" w:hAnsi="Arial" w:cs="Arial"/>
          <w:sz w:val="20"/>
          <w:szCs w:val="20"/>
          <w:lang w:val="en-GB" w:eastAsia="ja-JP"/>
        </w:rPr>
        <w:t>,</w:t>
      </w:r>
    </w:p>
    <w:p w14:paraId="7E2AF07B" w14:textId="0B8B5196" w:rsidR="00F4792A" w:rsidRDefault="00F4792A" w:rsidP="00F4792A">
      <w:pPr>
        <w:pStyle w:val="ListParagraph"/>
        <w:numPr>
          <w:ilvl w:val="0"/>
          <w:numId w:val="24"/>
        </w:numPr>
        <w:rPr>
          <w:rFonts w:ascii="Arial" w:hAnsi="Arial" w:cs="Arial"/>
          <w:sz w:val="20"/>
          <w:szCs w:val="20"/>
          <w:lang w:val="en-GB" w:eastAsia="ja-JP"/>
        </w:rPr>
      </w:pPr>
      <w:r>
        <w:rPr>
          <w:rFonts w:ascii="Arial" w:hAnsi="Arial" w:cs="Arial"/>
          <w:sz w:val="20"/>
          <w:szCs w:val="20"/>
          <w:lang w:val="en-GB" w:eastAsia="ja-JP"/>
        </w:rPr>
        <w:t>O</w:t>
      </w:r>
      <w:r w:rsidR="007B1884" w:rsidRPr="00AB51B4">
        <w:rPr>
          <w:rFonts w:ascii="Arial" w:hAnsi="Arial" w:cs="Arial"/>
          <w:sz w:val="20"/>
          <w:szCs w:val="20"/>
          <w:lang w:val="en-GB" w:eastAsia="ja-JP"/>
        </w:rPr>
        <w:t>ther gNB</w:t>
      </w:r>
      <w:r>
        <w:rPr>
          <w:rFonts w:ascii="Arial" w:hAnsi="Arial" w:cs="Arial"/>
          <w:sz w:val="20"/>
          <w:szCs w:val="20"/>
          <w:lang w:val="en-GB" w:eastAsia="ja-JP"/>
        </w:rPr>
        <w:t>s</w:t>
      </w:r>
      <w:r w:rsidR="007B1884" w:rsidRPr="00AB51B4">
        <w:rPr>
          <w:rFonts w:ascii="Arial" w:hAnsi="Arial" w:cs="Arial"/>
          <w:sz w:val="20"/>
          <w:szCs w:val="20"/>
          <w:lang w:val="en-GB" w:eastAsia="ja-JP"/>
        </w:rPr>
        <w:t xml:space="preserve"> transmitting in the SBFD receive sub-band</w:t>
      </w:r>
      <w:r>
        <w:rPr>
          <w:rFonts w:ascii="Arial" w:hAnsi="Arial" w:cs="Arial"/>
          <w:sz w:val="20"/>
          <w:szCs w:val="20"/>
          <w:lang w:val="en-GB" w:eastAsia="ja-JP"/>
        </w:rPr>
        <w:t xml:space="preserve"> in case not all nodes in the network are operating SBFD</w:t>
      </w:r>
      <w:r w:rsidR="00A857BE">
        <w:rPr>
          <w:rFonts w:ascii="Arial" w:hAnsi="Arial" w:cs="Arial"/>
          <w:sz w:val="20"/>
          <w:szCs w:val="20"/>
          <w:lang w:val="en-GB" w:eastAsia="ja-JP"/>
        </w:rPr>
        <w:t>,</w:t>
      </w:r>
    </w:p>
    <w:p w14:paraId="6AC5F4AD" w14:textId="2BB09D2B" w:rsidR="007B1884" w:rsidRPr="00C60F71" w:rsidRDefault="00F4792A" w:rsidP="007B1884">
      <w:pPr>
        <w:pStyle w:val="ListParagraph"/>
        <w:numPr>
          <w:ilvl w:val="0"/>
          <w:numId w:val="24"/>
        </w:numPr>
        <w:rPr>
          <w:rFonts w:ascii="Arial" w:hAnsi="Arial" w:cs="Arial"/>
          <w:sz w:val="20"/>
          <w:szCs w:val="20"/>
          <w:lang w:val="en-GB" w:eastAsia="ja-JP"/>
        </w:rPr>
      </w:pPr>
      <w:r w:rsidRPr="00AB51B4">
        <w:rPr>
          <w:rFonts w:ascii="Arial" w:hAnsi="Arial" w:cs="Arial"/>
          <w:sz w:val="20"/>
          <w:szCs w:val="20"/>
          <w:lang w:val="en-GB" w:eastAsia="ja-JP"/>
        </w:rPr>
        <w:t>Other operators</w:t>
      </w:r>
      <w:r>
        <w:rPr>
          <w:rFonts w:ascii="Arial" w:hAnsi="Arial" w:cs="Arial"/>
          <w:sz w:val="20"/>
          <w:szCs w:val="20"/>
          <w:lang w:val="en-GB" w:eastAsia="ja-JP"/>
        </w:rPr>
        <w:t>’</w:t>
      </w:r>
      <w:r w:rsidRPr="00AB51B4">
        <w:rPr>
          <w:rFonts w:ascii="Arial" w:hAnsi="Arial" w:cs="Arial"/>
          <w:sz w:val="20"/>
          <w:szCs w:val="20"/>
          <w:lang w:val="en-GB" w:eastAsia="ja-JP"/>
        </w:rPr>
        <w:t xml:space="preserve"> gNB</w:t>
      </w:r>
      <w:r>
        <w:rPr>
          <w:rFonts w:ascii="Arial" w:hAnsi="Arial" w:cs="Arial"/>
          <w:sz w:val="20"/>
          <w:szCs w:val="20"/>
          <w:lang w:val="en-GB" w:eastAsia="ja-JP"/>
        </w:rPr>
        <w:t>s</w:t>
      </w:r>
      <w:r w:rsidRPr="00AB51B4">
        <w:rPr>
          <w:rFonts w:ascii="Arial" w:hAnsi="Arial" w:cs="Arial"/>
          <w:sz w:val="20"/>
          <w:szCs w:val="20"/>
          <w:lang w:val="en-GB" w:eastAsia="ja-JP"/>
        </w:rPr>
        <w:t xml:space="preserve"> that are transmitting during SBFD slots</w:t>
      </w:r>
      <w:r>
        <w:rPr>
          <w:rFonts w:ascii="Arial" w:hAnsi="Arial" w:cs="Arial"/>
          <w:sz w:val="20"/>
          <w:szCs w:val="20"/>
          <w:lang w:val="en-GB" w:eastAsia="ja-JP"/>
        </w:rPr>
        <w:t xml:space="preserve"> on adjacent carriers</w:t>
      </w:r>
      <w:r w:rsidR="00A857BE">
        <w:rPr>
          <w:rFonts w:ascii="Arial" w:hAnsi="Arial" w:cs="Arial"/>
          <w:sz w:val="20"/>
          <w:szCs w:val="20"/>
          <w:lang w:val="en-GB" w:eastAsia="ja-JP"/>
        </w:rPr>
        <w:t>.</w:t>
      </w:r>
    </w:p>
    <w:p w14:paraId="0A00690D" w14:textId="77777777" w:rsidR="007B1884" w:rsidRDefault="007B1884" w:rsidP="007B1884">
      <w:pPr>
        <w:rPr>
          <w:lang w:val="en-GB" w:eastAsia="ja-JP"/>
        </w:rPr>
      </w:pPr>
    </w:p>
    <w:p w14:paraId="7B76027E" w14:textId="3B6F2B54" w:rsidR="007B1884" w:rsidRDefault="00F4792A" w:rsidP="007B1884">
      <w:pPr>
        <w:rPr>
          <w:lang w:val="en-GB" w:eastAsia="ja-JP"/>
        </w:rPr>
      </w:pPr>
      <w:r>
        <w:rPr>
          <w:lang w:val="en-GB" w:eastAsia="ja-JP"/>
        </w:rPr>
        <w:t xml:space="preserve">For both SBFD and dynamic/flexible TDD, </w:t>
      </w:r>
      <w:r w:rsidR="007B1884">
        <w:rPr>
          <w:lang w:val="en-GB" w:eastAsia="ja-JP"/>
        </w:rPr>
        <w:t>gNB-gNB CLI both within an operator and between operators on different frequencies is a major source of interference.</w:t>
      </w:r>
    </w:p>
    <w:p w14:paraId="49847499" w14:textId="32DE0C95" w:rsidR="00D6266F" w:rsidRDefault="00F4792A" w:rsidP="00D6266F">
      <w:pPr>
        <w:pStyle w:val="Observation"/>
        <w:rPr>
          <w:lang w:val="en-GB"/>
        </w:rPr>
      </w:pPr>
      <w:bookmarkStart w:id="15" w:name="_Toc144453546"/>
      <w:r>
        <w:rPr>
          <w:lang w:val="en-GB"/>
        </w:rPr>
        <w:t xml:space="preserve">For both SBFD and dynamic/flexible TDD, </w:t>
      </w:r>
      <w:r w:rsidR="00D6266F">
        <w:rPr>
          <w:lang w:val="en-GB"/>
        </w:rPr>
        <w:t>CLI between operators is just as much an issue as CLI within the same operator carrier</w:t>
      </w:r>
      <w:r w:rsidR="00443748">
        <w:rPr>
          <w:lang w:val="en-GB"/>
        </w:rPr>
        <w:t>.</w:t>
      </w:r>
      <w:bookmarkEnd w:id="15"/>
    </w:p>
    <w:p w14:paraId="775D8973" w14:textId="32918327" w:rsidR="007B1884" w:rsidRDefault="00DF74E1" w:rsidP="007B1884">
      <w:pPr>
        <w:rPr>
          <w:lang w:val="en-GB" w:eastAsia="ja-JP"/>
        </w:rPr>
      </w:pPr>
      <w:r>
        <w:rPr>
          <w:lang w:val="en-GB" w:eastAsia="ja-JP"/>
        </w:rPr>
        <w:t xml:space="preserve">UE-UE CLI may occur </w:t>
      </w:r>
      <w:r w:rsidR="00D50193">
        <w:rPr>
          <w:lang w:val="en-GB" w:eastAsia="ja-JP"/>
        </w:rPr>
        <w:t xml:space="preserve">between UEs that are transmitting </w:t>
      </w:r>
      <w:r w:rsidR="008B5992">
        <w:rPr>
          <w:lang w:val="en-GB" w:eastAsia="ja-JP"/>
        </w:rPr>
        <w:t xml:space="preserve">uplink </w:t>
      </w:r>
      <w:r w:rsidR="00D50193">
        <w:rPr>
          <w:lang w:val="en-GB" w:eastAsia="ja-JP"/>
        </w:rPr>
        <w:t>and UEs that are receiving downlink from the same or from different operators when the UEs are in close proximity</w:t>
      </w:r>
      <w:r w:rsidR="00075B35">
        <w:rPr>
          <w:lang w:val="en-GB" w:eastAsia="ja-JP"/>
        </w:rPr>
        <w:t>. However, in general the probability of being scheduled in this manner whilst in close proximity is low.</w:t>
      </w:r>
    </w:p>
    <w:p w14:paraId="4AE7DD79" w14:textId="10E38B30" w:rsidR="00D6266F" w:rsidRDefault="00D6266F" w:rsidP="00D6266F">
      <w:pPr>
        <w:pStyle w:val="Observation"/>
        <w:rPr>
          <w:lang w:val="en-GB"/>
        </w:rPr>
      </w:pPr>
      <w:bookmarkStart w:id="16" w:name="_Toc144453547"/>
      <w:r w:rsidRPr="6E7F1C68">
        <w:rPr>
          <w:lang w:val="en-GB"/>
        </w:rPr>
        <w:t xml:space="preserve">UE-UE CLI is </w:t>
      </w:r>
      <w:r w:rsidR="00367734">
        <w:rPr>
          <w:lang w:val="en-GB"/>
        </w:rPr>
        <w:t xml:space="preserve">not </w:t>
      </w:r>
      <w:r w:rsidRPr="6E7F1C68">
        <w:rPr>
          <w:lang w:val="en-GB"/>
        </w:rPr>
        <w:t>a</w:t>
      </w:r>
      <w:r w:rsidR="00367734">
        <w:rPr>
          <w:lang w:val="en-GB"/>
        </w:rPr>
        <w:t xml:space="preserve">s significant an </w:t>
      </w:r>
      <w:r w:rsidRPr="6E7F1C68">
        <w:rPr>
          <w:lang w:val="en-GB"/>
        </w:rPr>
        <w:t xml:space="preserve">issue </w:t>
      </w:r>
      <w:r w:rsidR="00901733">
        <w:rPr>
          <w:lang w:val="en-GB"/>
        </w:rPr>
        <w:t>as gNB-gNB</w:t>
      </w:r>
      <w:r w:rsidR="00284621">
        <w:rPr>
          <w:lang w:val="en-GB"/>
        </w:rPr>
        <w:t xml:space="preserve"> CLI</w:t>
      </w:r>
      <w:r w:rsidR="00443748">
        <w:rPr>
          <w:lang w:val="en-GB"/>
        </w:rPr>
        <w:t>.</w:t>
      </w:r>
      <w:bookmarkEnd w:id="16"/>
    </w:p>
    <w:p w14:paraId="7CE26D4B" w14:textId="7361AFA8" w:rsidR="00075B35" w:rsidRDefault="00075B35" w:rsidP="007B1884">
      <w:pPr>
        <w:rPr>
          <w:lang w:val="en-GB" w:eastAsia="ja-JP"/>
        </w:rPr>
      </w:pPr>
      <w:r>
        <w:rPr>
          <w:lang w:val="en-GB" w:eastAsia="ja-JP"/>
        </w:rPr>
        <w:t xml:space="preserve">gNB-gNB CLI </w:t>
      </w:r>
      <w:r w:rsidR="002E4A70">
        <w:rPr>
          <w:lang w:val="en-GB" w:eastAsia="ja-JP"/>
        </w:rPr>
        <w:t xml:space="preserve">between operators on different carriers has been shown in previous studies </w:t>
      </w:r>
      <w:r w:rsidR="008B5992">
        <w:rPr>
          <w:lang w:val="en-GB" w:eastAsia="ja-JP"/>
        </w:rPr>
        <w:t>on dynamic TDD</w:t>
      </w:r>
      <w:r w:rsidR="002E4A70">
        <w:rPr>
          <w:lang w:val="en-GB" w:eastAsia="ja-JP"/>
        </w:rPr>
        <w:t xml:space="preserve"> </w:t>
      </w:r>
      <w:r w:rsidR="008B5992">
        <w:rPr>
          <w:lang w:val="en-GB" w:eastAsia="ja-JP"/>
        </w:rPr>
        <w:t>[2]</w:t>
      </w:r>
      <w:r w:rsidR="002E4A70">
        <w:rPr>
          <w:lang w:val="en-GB" w:eastAsia="ja-JP"/>
        </w:rPr>
        <w:t xml:space="preserve"> to be a major source of interference, and hence solving CLI within the same operator is not sufficient for enabling dynamic TDD</w:t>
      </w:r>
      <w:r w:rsidR="008B5992">
        <w:rPr>
          <w:lang w:val="en-GB" w:eastAsia="ja-JP"/>
        </w:rPr>
        <w:t xml:space="preserve"> or SBFD in a multi-operator deployment.</w:t>
      </w:r>
    </w:p>
    <w:p w14:paraId="2305064A" w14:textId="5FCF975A" w:rsidR="007D1296" w:rsidRDefault="008B5992" w:rsidP="007D1296">
      <w:pPr>
        <w:pStyle w:val="Observation"/>
        <w:rPr>
          <w:lang w:val="en-GB"/>
        </w:rPr>
      </w:pPr>
      <w:bookmarkStart w:id="17" w:name="_Toc144453548"/>
      <w:r>
        <w:rPr>
          <w:lang w:val="en-GB"/>
        </w:rPr>
        <w:t>There</w:t>
      </w:r>
      <w:r w:rsidR="007D1296">
        <w:rPr>
          <w:lang w:val="en-GB"/>
        </w:rPr>
        <w:t xml:space="preserve"> is </w:t>
      </w:r>
      <w:r>
        <w:rPr>
          <w:lang w:val="en-GB"/>
        </w:rPr>
        <w:t xml:space="preserve">little </w:t>
      </w:r>
      <w:r w:rsidR="007D1296">
        <w:rPr>
          <w:lang w:val="en-GB"/>
        </w:rPr>
        <w:t xml:space="preserve">value </w:t>
      </w:r>
      <w:r>
        <w:rPr>
          <w:lang w:val="en-GB"/>
        </w:rPr>
        <w:t>in</w:t>
      </w:r>
      <w:r w:rsidR="007D1296">
        <w:rPr>
          <w:lang w:val="en-GB"/>
        </w:rPr>
        <w:t xml:space="preserve"> solving CLI within the same carrier if CLI between operators on different carriers is not solved.</w:t>
      </w:r>
      <w:bookmarkEnd w:id="17"/>
    </w:p>
    <w:p w14:paraId="3D5FD78D" w14:textId="38D14711" w:rsidR="007D1296" w:rsidRDefault="007D1296" w:rsidP="00AB51B4">
      <w:pPr>
        <w:pStyle w:val="BodyText"/>
        <w:rPr>
          <w:lang w:val="en-GB"/>
        </w:rPr>
      </w:pPr>
    </w:p>
    <w:p w14:paraId="3D3A77ED" w14:textId="0BCD96FE" w:rsidR="00A50239" w:rsidRDefault="00A50239" w:rsidP="00A50239">
      <w:pPr>
        <w:pStyle w:val="BodyText"/>
        <w:rPr>
          <w:lang w:val="en-GB"/>
        </w:rPr>
      </w:pPr>
      <w:r>
        <w:rPr>
          <w:lang w:val="en-GB"/>
        </w:rPr>
        <w:t>Given that gNB-gNB CLI is so dominant in WA macro networks, and that solving only the own operator CLI is not sufficient, it does not make sense to spend a lot of specification effort to introduce CLI mitigation schemes that have dubious potential. Furthermore, it does not seem worth it to introduce such schemes for small cell or indoor scenarios given that CLI does not limit performance in the same wa</w:t>
      </w:r>
      <w:r w:rsidR="00DF2FEA">
        <w:rPr>
          <w:lang w:val="en-GB"/>
        </w:rPr>
        <w:t>y</w:t>
      </w:r>
      <w:r>
        <w:rPr>
          <w:lang w:val="en-GB"/>
        </w:rPr>
        <w:t xml:space="preserve"> as for WA macro scenarios. Hence, </w:t>
      </w:r>
      <w:r>
        <w:rPr>
          <w:lang w:val="en-GB"/>
        </w:rPr>
        <w:lastRenderedPageBreak/>
        <w:t xml:space="preserve">in our view, </w:t>
      </w:r>
      <w:r w:rsidR="0022193E">
        <w:rPr>
          <w:lang w:val="en-GB"/>
        </w:rPr>
        <w:t xml:space="preserve">it should be carefully considered whether </w:t>
      </w:r>
      <w:r w:rsidR="000C7947">
        <w:rPr>
          <w:lang w:val="en-GB"/>
        </w:rPr>
        <w:t>there</w:t>
      </w:r>
      <w:r w:rsidR="0022193E">
        <w:rPr>
          <w:lang w:val="en-GB"/>
        </w:rPr>
        <w:t xml:space="preserve"> is </w:t>
      </w:r>
      <w:r w:rsidR="000C7947">
        <w:rPr>
          <w:lang w:val="en-GB"/>
        </w:rPr>
        <w:t xml:space="preserve">any benefit in starting any </w:t>
      </w:r>
      <w:r w:rsidR="0022193E">
        <w:rPr>
          <w:lang w:val="en-GB"/>
        </w:rPr>
        <w:t>normative work</w:t>
      </w:r>
      <w:r w:rsidR="00C94F74">
        <w:rPr>
          <w:lang w:val="en-GB"/>
        </w:rPr>
        <w:t xml:space="preserve"> in this area, and if </w:t>
      </w:r>
      <w:r w:rsidR="00B44924">
        <w:rPr>
          <w:lang w:val="en-GB"/>
        </w:rPr>
        <w:t>so</w:t>
      </w:r>
      <w:r w:rsidR="00E5310F">
        <w:rPr>
          <w:lang w:val="en-GB"/>
        </w:rPr>
        <w:t xml:space="preserve">, </w:t>
      </w:r>
      <w:r>
        <w:rPr>
          <w:lang w:val="en-GB"/>
        </w:rPr>
        <w:t>normative work should not involve complicated CLI mitigation schemes that rely on exchange of rich information between gNBs to enable them.</w:t>
      </w:r>
      <w:r w:rsidR="001D7E4E">
        <w:rPr>
          <w:lang w:val="en-GB"/>
        </w:rPr>
        <w:t xml:space="preserve"> By “rich” we mean information that is highly time variant and/or requires large payloads. </w:t>
      </w:r>
    </w:p>
    <w:p w14:paraId="32712069" w14:textId="7C562D2D" w:rsidR="001D7E4E" w:rsidRDefault="00E5310F" w:rsidP="00A50239">
      <w:pPr>
        <w:pStyle w:val="BodyText"/>
        <w:rPr>
          <w:rFonts w:eastAsia="Malgun Gothic"/>
        </w:rPr>
      </w:pPr>
      <w:r>
        <w:rPr>
          <w:lang w:val="en-GB"/>
        </w:rPr>
        <w:t xml:space="preserve">It is worth </w:t>
      </w:r>
      <w:r w:rsidR="00476683">
        <w:rPr>
          <w:lang w:val="en-GB"/>
        </w:rPr>
        <w:t xml:space="preserve">noting </w:t>
      </w:r>
      <w:r w:rsidR="009B2846">
        <w:rPr>
          <w:lang w:val="en-GB"/>
        </w:rPr>
        <w:t xml:space="preserve">that </w:t>
      </w:r>
      <w:r w:rsidR="001D7E4E">
        <w:rPr>
          <w:lang w:val="en-GB"/>
        </w:rPr>
        <w:t xml:space="preserve">some support for CLI mitigation for </w:t>
      </w:r>
      <w:r w:rsidR="008813D8">
        <w:rPr>
          <w:lang w:val="en-GB"/>
        </w:rPr>
        <w:t>TDD</w:t>
      </w:r>
      <w:r w:rsidR="001D7E4E">
        <w:rPr>
          <w:lang w:val="en-GB"/>
        </w:rPr>
        <w:t>-</w:t>
      </w:r>
      <w:r w:rsidR="008813D8">
        <w:rPr>
          <w:lang w:val="en-GB"/>
        </w:rPr>
        <w:t xml:space="preserve">based solutions </w:t>
      </w:r>
      <w:r w:rsidR="001D7E4E">
        <w:rPr>
          <w:lang w:val="en-GB"/>
        </w:rPr>
        <w:t>has</w:t>
      </w:r>
      <w:r w:rsidR="008813D8">
        <w:rPr>
          <w:lang w:val="en-GB"/>
        </w:rPr>
        <w:t xml:space="preserve"> already been introduced </w:t>
      </w:r>
      <w:r w:rsidR="00AB3B63">
        <w:rPr>
          <w:lang w:val="en-GB"/>
        </w:rPr>
        <w:t>over RAN interfaces</w:t>
      </w:r>
      <w:r w:rsidR="00950329">
        <w:rPr>
          <w:lang w:val="en-GB"/>
        </w:rPr>
        <w:t xml:space="preserve"> </w:t>
      </w:r>
      <w:r w:rsidR="00F61B4F">
        <w:rPr>
          <w:lang w:val="en-GB"/>
        </w:rPr>
        <w:t xml:space="preserve">such as the Xn and the F1, </w:t>
      </w:r>
      <w:r w:rsidR="00335092">
        <w:rPr>
          <w:lang w:val="en-GB"/>
        </w:rPr>
        <w:t xml:space="preserve">e.g. via signalling of the </w:t>
      </w:r>
      <w:r w:rsidR="00335092">
        <w:rPr>
          <w:rFonts w:eastAsia="Malgun Gothic"/>
          <w:i/>
          <w:iCs/>
        </w:rPr>
        <w:t xml:space="preserve">Intended TDD DL-UL Configuration NR </w:t>
      </w:r>
      <w:r w:rsidR="0024045F">
        <w:rPr>
          <w:rFonts w:eastAsia="Malgun Gothic"/>
        </w:rPr>
        <w:t>information</w:t>
      </w:r>
      <w:r w:rsidR="001D7E4E">
        <w:rPr>
          <w:rFonts w:eastAsia="Malgun Gothic"/>
        </w:rPr>
        <w:t xml:space="preserve"> which does not require large payloads, and need not change on a very fast basis. </w:t>
      </w:r>
    </w:p>
    <w:p w14:paraId="721EAD7B" w14:textId="39A071FE" w:rsidR="00740B8D" w:rsidRDefault="00740B8D" w:rsidP="00AB51B4">
      <w:pPr>
        <w:pStyle w:val="Proposal"/>
        <w:rPr>
          <w:lang w:val="en-GB"/>
        </w:rPr>
      </w:pPr>
      <w:bookmarkStart w:id="18" w:name="_Toc144444690"/>
      <w:bookmarkStart w:id="19" w:name="_Toc144728184"/>
      <w:bookmarkEnd w:id="18"/>
      <w:r>
        <w:rPr>
          <w:lang w:val="en-GB"/>
        </w:rPr>
        <w:t xml:space="preserve">Introduction of </w:t>
      </w:r>
      <w:r w:rsidR="00E6079C">
        <w:rPr>
          <w:lang w:val="en-GB"/>
        </w:rPr>
        <w:t xml:space="preserve">further </w:t>
      </w:r>
      <w:r>
        <w:rPr>
          <w:lang w:val="en-GB"/>
        </w:rPr>
        <w:t xml:space="preserve">CLI mitigation schemes </w:t>
      </w:r>
      <w:r w:rsidR="007779C3">
        <w:rPr>
          <w:lang w:val="en-GB"/>
        </w:rPr>
        <w:t xml:space="preserve">should be carefully </w:t>
      </w:r>
      <w:r w:rsidR="001C202E">
        <w:rPr>
          <w:lang w:val="en-GB"/>
        </w:rPr>
        <w:t xml:space="preserve">evaluated and </w:t>
      </w:r>
      <w:r w:rsidR="00A57210">
        <w:rPr>
          <w:lang w:val="en-GB"/>
        </w:rPr>
        <w:t xml:space="preserve">not prioritised. </w:t>
      </w:r>
      <w:r w:rsidR="003623F1">
        <w:rPr>
          <w:lang w:val="en-GB"/>
        </w:rPr>
        <w:t xml:space="preserve">If such enhancements </w:t>
      </w:r>
      <w:r w:rsidR="00FD1AAA">
        <w:rPr>
          <w:lang w:val="en-GB"/>
        </w:rPr>
        <w:t>need to be supported,</w:t>
      </w:r>
      <w:r>
        <w:rPr>
          <w:lang w:val="en-GB"/>
        </w:rPr>
        <w:t xml:space="preserve"> </w:t>
      </w:r>
      <w:r w:rsidR="005045D4">
        <w:rPr>
          <w:lang w:val="en-GB"/>
        </w:rPr>
        <w:t>solutions</w:t>
      </w:r>
      <w:r>
        <w:rPr>
          <w:lang w:val="en-GB"/>
        </w:rPr>
        <w:t xml:space="preserve"> </w:t>
      </w:r>
      <w:r w:rsidR="00E4737B">
        <w:rPr>
          <w:lang w:val="en-GB"/>
        </w:rPr>
        <w:t xml:space="preserve">should </w:t>
      </w:r>
      <w:r w:rsidR="00767C2F">
        <w:rPr>
          <w:lang w:val="en-GB"/>
        </w:rPr>
        <w:t xml:space="preserve">aim at </w:t>
      </w:r>
      <w:r w:rsidR="00121E61">
        <w:rPr>
          <w:lang w:val="en-GB"/>
        </w:rPr>
        <w:t>minimising the impacts on interfaces and functions given the limited benefits</w:t>
      </w:r>
      <w:r w:rsidR="007B08EE">
        <w:rPr>
          <w:lang w:val="en-GB"/>
        </w:rPr>
        <w:t xml:space="preserve"> that can be achieved</w:t>
      </w:r>
      <w:r w:rsidR="00386BC4">
        <w:rPr>
          <w:lang w:val="en-GB"/>
        </w:rPr>
        <w:t>.</w:t>
      </w:r>
      <w:bookmarkEnd w:id="19"/>
    </w:p>
    <w:p w14:paraId="3879E8F8" w14:textId="77777777" w:rsidR="00C473A5" w:rsidRDefault="00C473A5" w:rsidP="00CE0424">
      <w:pPr>
        <w:pStyle w:val="Heading1"/>
        <w:sectPr w:rsidR="00C473A5" w:rsidSect="002E4A70">
          <w:headerReference w:type="even" r:id="rId11"/>
          <w:footerReference w:type="default" r:id="rId12"/>
          <w:footnotePr>
            <w:numRestart w:val="eachSect"/>
          </w:footnotePr>
          <w:pgSz w:w="11907" w:h="16840" w:code="9"/>
          <w:pgMar w:top="1418" w:right="1134" w:bottom="1134" w:left="1134" w:header="680" w:footer="567" w:gutter="0"/>
          <w:cols w:space="720"/>
          <w:docGrid w:linePitch="272"/>
        </w:sectPr>
      </w:pPr>
    </w:p>
    <w:p w14:paraId="37EB5693" w14:textId="77777777" w:rsidR="00C01F33" w:rsidRPr="00CE0424" w:rsidRDefault="00C01F33" w:rsidP="00CE0424">
      <w:pPr>
        <w:pStyle w:val="Heading1"/>
      </w:pPr>
      <w:r w:rsidRPr="00CE0424">
        <w:lastRenderedPageBreak/>
        <w:t>Conclusion</w:t>
      </w:r>
    </w:p>
    <w:p w14:paraId="5A650F2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5CFF5A89" w14:textId="5352275D" w:rsidR="008E2DAA" w:rsidRDefault="006F6582">
      <w:pPr>
        <w:pStyle w:val="TableofFigures"/>
        <w:tabs>
          <w:tab w:val="right" w:leader="dot" w:pos="9629"/>
        </w:tabs>
        <w:rPr>
          <w:rFonts w:asciiTheme="minorHAnsi" w:eastAsiaTheme="minorEastAsia" w:hAnsiTheme="minorHAnsi"/>
          <w:b w:val="0"/>
          <w:noProof/>
          <w:sz w:val="22"/>
          <w:lang w:val="en-SE" w:eastAsia="en-SE"/>
        </w:rPr>
      </w:pPr>
      <w:r>
        <w:rPr>
          <w:b w:val="0"/>
          <w:bCs/>
        </w:rPr>
        <w:fldChar w:fldCharType="begin"/>
      </w:r>
      <w:r>
        <w:rPr>
          <w:b w:val="0"/>
          <w:bCs/>
        </w:rPr>
        <w:instrText xml:space="preserve"> TOC \f O \n \h \z \t "Observation" \c </w:instrText>
      </w:r>
      <w:r>
        <w:rPr>
          <w:b w:val="0"/>
          <w:bCs/>
        </w:rPr>
        <w:fldChar w:fldCharType="separate"/>
      </w:r>
      <w:hyperlink w:anchor="_Toc144453546" w:history="1">
        <w:r w:rsidR="008E2DAA" w:rsidRPr="00434CC8">
          <w:rPr>
            <w:rStyle w:val="Hyperlink"/>
            <w:noProof/>
            <w:lang w:val="en-GB"/>
          </w:rPr>
          <w:t>Observation 1</w:t>
        </w:r>
        <w:r w:rsidR="008E2DAA">
          <w:rPr>
            <w:rFonts w:asciiTheme="minorHAnsi" w:eastAsiaTheme="minorEastAsia" w:hAnsiTheme="minorHAnsi"/>
            <w:b w:val="0"/>
            <w:noProof/>
            <w:sz w:val="22"/>
            <w:lang w:val="en-SE" w:eastAsia="en-SE"/>
          </w:rPr>
          <w:tab/>
        </w:r>
        <w:r w:rsidR="008E2DAA" w:rsidRPr="00434CC8">
          <w:rPr>
            <w:rStyle w:val="Hyperlink"/>
            <w:noProof/>
            <w:lang w:val="en-GB"/>
          </w:rPr>
          <w:t>For both SBFD and dynamic/flexible TDD, CLI between operators is just as much an issue as CLI within the same operator carrier.</w:t>
        </w:r>
      </w:hyperlink>
    </w:p>
    <w:p w14:paraId="4B412FB5" w14:textId="1B9C51CC" w:rsidR="008E2DAA" w:rsidRDefault="00000000">
      <w:pPr>
        <w:pStyle w:val="TableofFigures"/>
        <w:tabs>
          <w:tab w:val="right" w:leader="dot" w:pos="9629"/>
        </w:tabs>
        <w:rPr>
          <w:rFonts w:asciiTheme="minorHAnsi" w:eastAsiaTheme="minorEastAsia" w:hAnsiTheme="minorHAnsi"/>
          <w:b w:val="0"/>
          <w:noProof/>
          <w:sz w:val="22"/>
          <w:lang w:val="en-SE" w:eastAsia="en-SE"/>
        </w:rPr>
      </w:pPr>
      <w:hyperlink w:anchor="_Toc144453547" w:history="1">
        <w:r w:rsidR="008E2DAA" w:rsidRPr="00434CC8">
          <w:rPr>
            <w:rStyle w:val="Hyperlink"/>
            <w:noProof/>
            <w:lang w:val="en-GB"/>
          </w:rPr>
          <w:t>Observation 2</w:t>
        </w:r>
        <w:r w:rsidR="008E2DAA">
          <w:rPr>
            <w:rFonts w:asciiTheme="minorHAnsi" w:eastAsiaTheme="minorEastAsia" w:hAnsiTheme="minorHAnsi"/>
            <w:b w:val="0"/>
            <w:noProof/>
            <w:sz w:val="22"/>
            <w:lang w:val="en-SE" w:eastAsia="en-SE"/>
          </w:rPr>
          <w:tab/>
        </w:r>
        <w:r w:rsidR="008E2DAA" w:rsidRPr="00434CC8">
          <w:rPr>
            <w:rStyle w:val="Hyperlink"/>
            <w:noProof/>
            <w:lang w:val="en-GB"/>
          </w:rPr>
          <w:t>UE-UE CLI is not as significant an issue as gNB-gNB CLI.</w:t>
        </w:r>
      </w:hyperlink>
    </w:p>
    <w:p w14:paraId="1ED008D9" w14:textId="6B03B1C4" w:rsidR="008E2DAA" w:rsidRDefault="00000000">
      <w:pPr>
        <w:pStyle w:val="TableofFigures"/>
        <w:tabs>
          <w:tab w:val="right" w:leader="dot" w:pos="9629"/>
        </w:tabs>
        <w:rPr>
          <w:rFonts w:asciiTheme="minorHAnsi" w:eastAsiaTheme="minorEastAsia" w:hAnsiTheme="minorHAnsi"/>
          <w:b w:val="0"/>
          <w:noProof/>
          <w:sz w:val="22"/>
          <w:lang w:val="en-SE" w:eastAsia="en-SE"/>
        </w:rPr>
      </w:pPr>
      <w:hyperlink w:anchor="_Toc144453548" w:history="1">
        <w:r w:rsidR="008E2DAA" w:rsidRPr="00434CC8">
          <w:rPr>
            <w:rStyle w:val="Hyperlink"/>
            <w:noProof/>
            <w:lang w:val="en-GB"/>
          </w:rPr>
          <w:t>Observation 3</w:t>
        </w:r>
        <w:r w:rsidR="008E2DAA">
          <w:rPr>
            <w:rFonts w:asciiTheme="minorHAnsi" w:eastAsiaTheme="minorEastAsia" w:hAnsiTheme="minorHAnsi"/>
            <w:b w:val="0"/>
            <w:noProof/>
            <w:sz w:val="22"/>
            <w:lang w:val="en-SE" w:eastAsia="en-SE"/>
          </w:rPr>
          <w:tab/>
        </w:r>
        <w:r w:rsidR="008E2DAA" w:rsidRPr="00434CC8">
          <w:rPr>
            <w:rStyle w:val="Hyperlink"/>
            <w:noProof/>
            <w:lang w:val="en-GB"/>
          </w:rPr>
          <w:t>There is little value in solving CLI within the same carrier if CLI between operators on different carriers is not solved.</w:t>
        </w:r>
      </w:hyperlink>
    </w:p>
    <w:p w14:paraId="5F69EC0F" w14:textId="0AA10C2B" w:rsidR="006E1C82" w:rsidRDefault="006F6582" w:rsidP="008E065E">
      <w:pPr>
        <w:pStyle w:val="BodyText"/>
        <w:rPr>
          <w:b/>
          <w:bCs/>
        </w:rPr>
      </w:pPr>
      <w:r>
        <w:rPr>
          <w:b/>
          <w:bCs/>
        </w:rPr>
        <w:fldChar w:fldCharType="end"/>
      </w:r>
    </w:p>
    <w:p w14:paraId="7D91EC5D" w14:textId="77777777" w:rsidR="006E1C82" w:rsidRDefault="006E1C82" w:rsidP="008E065E">
      <w:pPr>
        <w:pStyle w:val="BodyText"/>
        <w:rPr>
          <w:b/>
          <w:bCs/>
        </w:rPr>
      </w:pPr>
    </w:p>
    <w:p w14:paraId="6225A1B8"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44A4344C" w14:textId="34A93AD8" w:rsidR="00D876CB" w:rsidRDefault="006E1C82">
      <w:pPr>
        <w:pStyle w:val="TableofFigures"/>
        <w:tabs>
          <w:tab w:val="right" w:leader="dot" w:pos="9629"/>
        </w:tabs>
        <w:rPr>
          <w:rFonts w:asciiTheme="minorHAnsi" w:eastAsiaTheme="minorEastAsia" w:hAnsiTheme="minorHAnsi"/>
          <w:b w:val="0"/>
          <w:noProof/>
          <w:sz w:val="22"/>
          <w:lang w:val="en-SE" w:eastAsia="en-SE"/>
        </w:rPr>
      </w:pPr>
      <w:r>
        <w:rPr>
          <w:b w:val="0"/>
          <w:bCs/>
        </w:rPr>
        <w:fldChar w:fldCharType="begin"/>
      </w:r>
      <w:r>
        <w:rPr>
          <w:b w:val="0"/>
          <w:bCs/>
        </w:rPr>
        <w:instrText xml:space="preserve"> TOC \n \h \z \t "Proposal" \c </w:instrText>
      </w:r>
      <w:r>
        <w:rPr>
          <w:b w:val="0"/>
          <w:bCs/>
        </w:rPr>
        <w:fldChar w:fldCharType="separate"/>
      </w:r>
      <w:hyperlink w:anchor="_Toc144728174" w:history="1">
        <w:r w:rsidR="00D876CB" w:rsidRPr="00D85EE8">
          <w:rPr>
            <w:rStyle w:val="Hyperlink"/>
            <w:noProof/>
          </w:rPr>
          <w:t>Proposal 1</w:t>
        </w:r>
        <w:r w:rsidR="00D876CB">
          <w:rPr>
            <w:rFonts w:asciiTheme="minorHAnsi" w:eastAsiaTheme="minorEastAsia" w:hAnsiTheme="minorHAnsi"/>
            <w:b w:val="0"/>
            <w:noProof/>
            <w:sz w:val="22"/>
            <w:lang w:val="en-SE" w:eastAsia="en-SE"/>
          </w:rPr>
          <w:tab/>
        </w:r>
        <w:r w:rsidR="00D876CB" w:rsidRPr="00D85EE8">
          <w:rPr>
            <w:rStyle w:val="Hyperlink"/>
            <w:noProof/>
          </w:rPr>
          <w:t>A WI on SBFD should address both FR1 and FR2.</w:t>
        </w:r>
      </w:hyperlink>
    </w:p>
    <w:p w14:paraId="6A770FD7" w14:textId="3B61DA18" w:rsidR="00D876CB" w:rsidRDefault="00D876CB">
      <w:pPr>
        <w:pStyle w:val="TableofFigures"/>
        <w:tabs>
          <w:tab w:val="right" w:leader="dot" w:pos="9629"/>
        </w:tabs>
        <w:rPr>
          <w:rFonts w:asciiTheme="minorHAnsi" w:eastAsiaTheme="minorEastAsia" w:hAnsiTheme="minorHAnsi"/>
          <w:b w:val="0"/>
          <w:noProof/>
          <w:sz w:val="22"/>
          <w:lang w:val="en-SE" w:eastAsia="en-SE"/>
        </w:rPr>
      </w:pPr>
      <w:hyperlink w:anchor="_Toc144728175" w:history="1">
        <w:r w:rsidRPr="00D85EE8">
          <w:rPr>
            <w:rStyle w:val="Hyperlink"/>
            <w:noProof/>
          </w:rPr>
          <w:t>Proposal 2</w:t>
        </w:r>
        <w:r>
          <w:rPr>
            <w:rFonts w:asciiTheme="minorHAnsi" w:eastAsiaTheme="minorEastAsia" w:hAnsiTheme="minorHAnsi"/>
            <w:b w:val="0"/>
            <w:noProof/>
            <w:sz w:val="22"/>
            <w:lang w:val="en-SE" w:eastAsia="en-SE"/>
          </w:rPr>
          <w:tab/>
        </w:r>
        <w:r w:rsidRPr="00D85EE8">
          <w:rPr>
            <w:rStyle w:val="Hyperlink"/>
            <w:noProof/>
          </w:rPr>
          <w:t>SBFD should focus on and be optimized for low power FR1 and FR2 scenarios. Do not optimize for FR1 wide area.</w:t>
        </w:r>
      </w:hyperlink>
    </w:p>
    <w:p w14:paraId="74A788D6" w14:textId="62A8CC52" w:rsidR="00D876CB" w:rsidRDefault="00D876CB">
      <w:pPr>
        <w:pStyle w:val="TableofFigures"/>
        <w:tabs>
          <w:tab w:val="right" w:leader="dot" w:pos="9629"/>
        </w:tabs>
        <w:rPr>
          <w:rFonts w:asciiTheme="minorHAnsi" w:eastAsiaTheme="minorEastAsia" w:hAnsiTheme="minorHAnsi"/>
          <w:b w:val="0"/>
          <w:noProof/>
          <w:sz w:val="22"/>
          <w:lang w:val="en-SE" w:eastAsia="en-SE"/>
        </w:rPr>
      </w:pPr>
      <w:hyperlink w:anchor="_Toc144728176" w:history="1">
        <w:r w:rsidRPr="00D85EE8">
          <w:rPr>
            <w:rStyle w:val="Hyperlink"/>
            <w:noProof/>
          </w:rPr>
          <w:t>Proposal 3</w:t>
        </w:r>
        <w:r>
          <w:rPr>
            <w:rFonts w:asciiTheme="minorHAnsi" w:eastAsiaTheme="minorEastAsia" w:hAnsiTheme="minorHAnsi"/>
            <w:b w:val="0"/>
            <w:noProof/>
            <w:sz w:val="22"/>
            <w:lang w:val="en-SE" w:eastAsia="en-SE"/>
          </w:rPr>
          <w:tab/>
        </w:r>
        <w:r w:rsidRPr="00D85EE8">
          <w:rPr>
            <w:rStyle w:val="Hyperlink"/>
            <w:noProof/>
          </w:rPr>
          <w:t>A WI on SBFD should consider semi-static SBFD only. Dynamic SBFD is out of scope.</w:t>
        </w:r>
      </w:hyperlink>
    </w:p>
    <w:p w14:paraId="5A3982DC" w14:textId="7A8553A9" w:rsidR="00D876CB" w:rsidRDefault="00D876CB">
      <w:pPr>
        <w:pStyle w:val="TableofFigures"/>
        <w:tabs>
          <w:tab w:val="right" w:leader="dot" w:pos="9629"/>
        </w:tabs>
        <w:rPr>
          <w:rFonts w:asciiTheme="minorHAnsi" w:eastAsiaTheme="minorEastAsia" w:hAnsiTheme="minorHAnsi"/>
          <w:b w:val="0"/>
          <w:noProof/>
          <w:sz w:val="22"/>
          <w:lang w:val="en-SE" w:eastAsia="en-SE"/>
        </w:rPr>
      </w:pPr>
      <w:hyperlink w:anchor="_Toc144728177" w:history="1">
        <w:r w:rsidRPr="00D85EE8">
          <w:rPr>
            <w:rStyle w:val="Hyperlink"/>
            <w:noProof/>
          </w:rPr>
          <w:t>Proposal 4</w:t>
        </w:r>
        <w:r>
          <w:rPr>
            <w:rFonts w:asciiTheme="minorHAnsi" w:eastAsiaTheme="minorEastAsia" w:hAnsiTheme="minorHAnsi"/>
            <w:b w:val="0"/>
            <w:noProof/>
            <w:sz w:val="22"/>
            <w:lang w:val="en-SE" w:eastAsia="en-SE"/>
          </w:rPr>
          <w:tab/>
        </w:r>
        <w:r w:rsidRPr="00D85EE8">
          <w:rPr>
            <w:rStyle w:val="Hyperlink"/>
            <w:noProof/>
          </w:rPr>
          <w:t>A WI on SBFD should consider CONNECTED mode only. SBFD operation in IDLE/INACTIVE mode is out of scope.</w:t>
        </w:r>
      </w:hyperlink>
    </w:p>
    <w:p w14:paraId="6B5E1B58" w14:textId="374B71CD" w:rsidR="00D876CB" w:rsidRDefault="00D876CB">
      <w:pPr>
        <w:pStyle w:val="TableofFigures"/>
        <w:tabs>
          <w:tab w:val="right" w:leader="dot" w:pos="9629"/>
        </w:tabs>
        <w:rPr>
          <w:rFonts w:asciiTheme="minorHAnsi" w:eastAsiaTheme="minorEastAsia" w:hAnsiTheme="minorHAnsi"/>
          <w:b w:val="0"/>
          <w:noProof/>
          <w:sz w:val="22"/>
          <w:lang w:val="en-SE" w:eastAsia="en-SE"/>
        </w:rPr>
      </w:pPr>
      <w:hyperlink w:anchor="_Toc144728178" w:history="1">
        <w:r w:rsidRPr="00D85EE8">
          <w:rPr>
            <w:rStyle w:val="Hyperlink"/>
            <w:noProof/>
          </w:rPr>
          <w:t>Proposal 5</w:t>
        </w:r>
        <w:r>
          <w:rPr>
            <w:rFonts w:asciiTheme="minorHAnsi" w:eastAsiaTheme="minorEastAsia" w:hAnsiTheme="minorHAnsi"/>
            <w:b w:val="0"/>
            <w:noProof/>
            <w:sz w:val="22"/>
            <w:lang w:val="en-SE" w:eastAsia="en-SE"/>
          </w:rPr>
          <w:tab/>
        </w:r>
        <w:r w:rsidRPr="00D85EE8">
          <w:rPr>
            <w:rStyle w:val="Hyperlink"/>
            <w:noProof/>
          </w:rPr>
          <w:t>PDCCH enhancements for SBFD operation are out of scope in normative work.</w:t>
        </w:r>
      </w:hyperlink>
    </w:p>
    <w:p w14:paraId="144BEE9D" w14:textId="5C477CFC" w:rsidR="00D876CB" w:rsidRDefault="00D876CB">
      <w:pPr>
        <w:pStyle w:val="TableofFigures"/>
        <w:tabs>
          <w:tab w:val="right" w:leader="dot" w:pos="9629"/>
        </w:tabs>
        <w:rPr>
          <w:rFonts w:asciiTheme="minorHAnsi" w:eastAsiaTheme="minorEastAsia" w:hAnsiTheme="minorHAnsi"/>
          <w:b w:val="0"/>
          <w:noProof/>
          <w:sz w:val="22"/>
          <w:lang w:val="en-SE" w:eastAsia="en-SE"/>
        </w:rPr>
      </w:pPr>
      <w:hyperlink w:anchor="_Toc144728179" w:history="1">
        <w:r w:rsidRPr="00D85EE8">
          <w:rPr>
            <w:rStyle w:val="Hyperlink"/>
            <w:noProof/>
          </w:rPr>
          <w:t>Proposal 6</w:t>
        </w:r>
        <w:r>
          <w:rPr>
            <w:rFonts w:asciiTheme="minorHAnsi" w:eastAsiaTheme="minorEastAsia" w:hAnsiTheme="minorHAnsi"/>
            <w:b w:val="0"/>
            <w:noProof/>
            <w:sz w:val="22"/>
            <w:lang w:val="en-SE" w:eastAsia="en-SE"/>
          </w:rPr>
          <w:tab/>
        </w:r>
        <w:r w:rsidRPr="00D85EE8">
          <w:rPr>
            <w:rStyle w:val="Hyperlink"/>
            <w:noProof/>
          </w:rPr>
          <w:t>A WI on SBFD should assume only legacy DL slots are used for SBFD operation.</w:t>
        </w:r>
      </w:hyperlink>
    </w:p>
    <w:p w14:paraId="400DC963" w14:textId="40649686" w:rsidR="00D876CB" w:rsidRDefault="00D876CB">
      <w:pPr>
        <w:pStyle w:val="TableofFigures"/>
        <w:tabs>
          <w:tab w:val="right" w:leader="dot" w:pos="9629"/>
        </w:tabs>
        <w:rPr>
          <w:rFonts w:asciiTheme="minorHAnsi" w:eastAsiaTheme="minorEastAsia" w:hAnsiTheme="minorHAnsi"/>
          <w:b w:val="0"/>
          <w:noProof/>
          <w:sz w:val="22"/>
          <w:lang w:val="en-SE" w:eastAsia="en-SE"/>
        </w:rPr>
      </w:pPr>
      <w:hyperlink w:anchor="_Toc144728180" w:history="1">
        <w:r w:rsidRPr="00D85EE8">
          <w:rPr>
            <w:rStyle w:val="Hyperlink"/>
            <w:noProof/>
          </w:rPr>
          <w:t>Proposal 7</w:t>
        </w:r>
        <w:r>
          <w:rPr>
            <w:rFonts w:asciiTheme="minorHAnsi" w:eastAsiaTheme="minorEastAsia" w:hAnsiTheme="minorHAnsi"/>
            <w:b w:val="0"/>
            <w:noProof/>
            <w:sz w:val="22"/>
            <w:lang w:val="en-SE" w:eastAsia="en-SE"/>
          </w:rPr>
          <w:tab/>
        </w:r>
        <w:r w:rsidRPr="00D85EE8">
          <w:rPr>
            <w:rStyle w:val="Hyperlink"/>
            <w:noProof/>
          </w:rPr>
          <w:t>A WI on SBFD should assume half-duplex at the UE.</w:t>
        </w:r>
      </w:hyperlink>
    </w:p>
    <w:p w14:paraId="6BF3B853" w14:textId="12F27536" w:rsidR="00D876CB" w:rsidRDefault="00D876CB">
      <w:pPr>
        <w:pStyle w:val="TableofFigures"/>
        <w:tabs>
          <w:tab w:val="right" w:leader="dot" w:pos="9629"/>
        </w:tabs>
        <w:rPr>
          <w:rFonts w:asciiTheme="minorHAnsi" w:eastAsiaTheme="minorEastAsia" w:hAnsiTheme="minorHAnsi"/>
          <w:b w:val="0"/>
          <w:noProof/>
          <w:sz w:val="22"/>
          <w:lang w:val="en-SE" w:eastAsia="en-SE"/>
        </w:rPr>
      </w:pPr>
      <w:hyperlink w:anchor="_Toc144728181" w:history="1">
        <w:r w:rsidRPr="00D85EE8">
          <w:rPr>
            <w:rStyle w:val="Hyperlink"/>
            <w:noProof/>
          </w:rPr>
          <w:t>Proposal 8</w:t>
        </w:r>
        <w:r>
          <w:rPr>
            <w:rFonts w:asciiTheme="minorHAnsi" w:eastAsiaTheme="minorEastAsia" w:hAnsiTheme="minorHAnsi"/>
            <w:b w:val="0"/>
            <w:noProof/>
            <w:sz w:val="22"/>
            <w:lang w:val="en-SE" w:eastAsia="en-SE"/>
          </w:rPr>
          <w:tab/>
        </w:r>
        <w:r w:rsidRPr="00D85EE8">
          <w:rPr>
            <w:rStyle w:val="Hyperlink"/>
            <w:noProof/>
          </w:rPr>
          <w:t>No parallel SI on duplexing evolution in Rel-19 (assuming there is a WI).</w:t>
        </w:r>
      </w:hyperlink>
    </w:p>
    <w:p w14:paraId="7FF32E6D" w14:textId="33230A88" w:rsidR="00D876CB" w:rsidRDefault="00D876CB">
      <w:pPr>
        <w:pStyle w:val="TableofFigures"/>
        <w:tabs>
          <w:tab w:val="right" w:leader="dot" w:pos="9629"/>
        </w:tabs>
        <w:rPr>
          <w:rFonts w:asciiTheme="minorHAnsi" w:eastAsiaTheme="minorEastAsia" w:hAnsiTheme="minorHAnsi"/>
          <w:b w:val="0"/>
          <w:noProof/>
          <w:sz w:val="22"/>
          <w:lang w:val="en-SE" w:eastAsia="en-SE"/>
        </w:rPr>
      </w:pPr>
      <w:hyperlink w:anchor="_Toc144728182" w:history="1">
        <w:r w:rsidRPr="00D85EE8">
          <w:rPr>
            <w:rStyle w:val="Hyperlink"/>
            <w:noProof/>
          </w:rPr>
          <w:t>Proposal 9</w:t>
        </w:r>
        <w:r>
          <w:rPr>
            <w:rFonts w:asciiTheme="minorHAnsi" w:eastAsiaTheme="minorEastAsia" w:hAnsiTheme="minorHAnsi"/>
            <w:b w:val="0"/>
            <w:noProof/>
            <w:sz w:val="22"/>
            <w:lang w:val="en-SE" w:eastAsia="en-SE"/>
          </w:rPr>
          <w:tab/>
        </w:r>
        <w:r w:rsidRPr="00D85EE8">
          <w:rPr>
            <w:rStyle w:val="Hyperlink"/>
            <w:noProof/>
          </w:rPr>
          <w:t>A SI could be started on e.g. UE SBFD in place of a WI.</w:t>
        </w:r>
      </w:hyperlink>
    </w:p>
    <w:p w14:paraId="2F49098E" w14:textId="5C883152" w:rsidR="00D876CB" w:rsidRDefault="00D876CB">
      <w:pPr>
        <w:pStyle w:val="TableofFigures"/>
        <w:tabs>
          <w:tab w:val="right" w:leader="dot" w:pos="9629"/>
        </w:tabs>
        <w:rPr>
          <w:rFonts w:asciiTheme="minorHAnsi" w:eastAsiaTheme="minorEastAsia" w:hAnsiTheme="minorHAnsi"/>
          <w:b w:val="0"/>
          <w:noProof/>
          <w:sz w:val="22"/>
          <w:lang w:val="en-SE" w:eastAsia="en-SE"/>
        </w:rPr>
      </w:pPr>
      <w:hyperlink w:anchor="_Toc144728183" w:history="1">
        <w:r w:rsidRPr="00D85EE8">
          <w:rPr>
            <w:rStyle w:val="Hyperlink"/>
            <w:noProof/>
          </w:rPr>
          <w:t>Proposal 10</w:t>
        </w:r>
        <w:r>
          <w:rPr>
            <w:rFonts w:asciiTheme="minorHAnsi" w:eastAsiaTheme="minorEastAsia" w:hAnsiTheme="minorHAnsi"/>
            <w:b w:val="0"/>
            <w:noProof/>
            <w:sz w:val="22"/>
            <w:lang w:val="en-SE" w:eastAsia="en-SE"/>
          </w:rPr>
          <w:tab/>
        </w:r>
        <w:r w:rsidRPr="00D85EE8">
          <w:rPr>
            <w:rStyle w:val="Hyperlink"/>
            <w:noProof/>
          </w:rPr>
          <w:t>If duplexing evolution is further studied in later releases, study should start with SBFD at the UE.</w:t>
        </w:r>
      </w:hyperlink>
    </w:p>
    <w:p w14:paraId="20004D1A" w14:textId="729F4A9F" w:rsidR="00D876CB" w:rsidRDefault="00D876CB">
      <w:pPr>
        <w:pStyle w:val="TableofFigures"/>
        <w:tabs>
          <w:tab w:val="right" w:leader="dot" w:pos="9629"/>
        </w:tabs>
        <w:rPr>
          <w:rFonts w:asciiTheme="minorHAnsi" w:eastAsiaTheme="minorEastAsia" w:hAnsiTheme="minorHAnsi"/>
          <w:b w:val="0"/>
          <w:noProof/>
          <w:sz w:val="22"/>
          <w:lang w:val="en-SE" w:eastAsia="en-SE"/>
        </w:rPr>
      </w:pPr>
      <w:hyperlink w:anchor="_Toc144728184" w:history="1">
        <w:r w:rsidRPr="00D85EE8">
          <w:rPr>
            <w:rStyle w:val="Hyperlink"/>
            <w:noProof/>
            <w:lang w:val="en-GB"/>
          </w:rPr>
          <w:t>Proposal 11</w:t>
        </w:r>
        <w:r>
          <w:rPr>
            <w:rFonts w:asciiTheme="minorHAnsi" w:eastAsiaTheme="minorEastAsia" w:hAnsiTheme="minorHAnsi"/>
            <w:b w:val="0"/>
            <w:noProof/>
            <w:sz w:val="22"/>
            <w:lang w:val="en-SE" w:eastAsia="en-SE"/>
          </w:rPr>
          <w:tab/>
        </w:r>
        <w:r w:rsidRPr="00D85EE8">
          <w:rPr>
            <w:rStyle w:val="Hyperlink"/>
            <w:noProof/>
            <w:lang w:val="en-GB"/>
          </w:rPr>
          <w:t>Introduction of further CLI mitigation schemes should be carefully evaluated and not prioritised. If such enhancements need to be supported, solutions should aim at minimising the impacts on interfaces and functions given the limited benefits that can be achieved.</w:t>
        </w:r>
      </w:hyperlink>
    </w:p>
    <w:p w14:paraId="747C743C" w14:textId="469AA0FB" w:rsidR="006E1C82" w:rsidRPr="00CE0424" w:rsidRDefault="006E1C82" w:rsidP="006E1C82">
      <w:pPr>
        <w:pStyle w:val="BodyText"/>
        <w:rPr>
          <w:b/>
          <w:bCs/>
        </w:rPr>
      </w:pPr>
      <w:r>
        <w:rPr>
          <w:b/>
          <w:bCs/>
        </w:rPr>
        <w:fldChar w:fldCharType="end"/>
      </w:r>
      <w:r w:rsidRPr="00CE0424">
        <w:rPr>
          <w:b/>
          <w:bCs/>
        </w:rPr>
        <w:t xml:space="preserve"> </w:t>
      </w:r>
    </w:p>
    <w:p w14:paraId="6584278B" w14:textId="77777777" w:rsidR="008E065E" w:rsidRPr="00CE0424" w:rsidRDefault="008E065E" w:rsidP="008E065E">
      <w:pPr>
        <w:rPr>
          <w:b/>
          <w:bCs/>
        </w:rPr>
      </w:pPr>
    </w:p>
    <w:p w14:paraId="71D79D99" w14:textId="77777777" w:rsidR="00F507D1" w:rsidRPr="00CE0424" w:rsidRDefault="00F507D1" w:rsidP="00CE0424">
      <w:pPr>
        <w:pStyle w:val="Heading1"/>
      </w:pPr>
      <w:bookmarkStart w:id="20" w:name="_In-sequence_SDU_delivery"/>
      <w:bookmarkEnd w:id="20"/>
      <w:r w:rsidRPr="00CE0424">
        <w:t>References</w:t>
      </w:r>
    </w:p>
    <w:p w14:paraId="0608F49D" w14:textId="14D07220" w:rsidR="00AA00A9" w:rsidRPr="008C483C" w:rsidRDefault="00AA00A9" w:rsidP="00311702">
      <w:pPr>
        <w:pStyle w:val="Reference"/>
      </w:pPr>
      <w:bookmarkStart w:id="21" w:name="_Ref174151459"/>
      <w:bookmarkStart w:id="22" w:name="_Ref189809556"/>
      <w:r w:rsidRPr="008C483C">
        <w:t xml:space="preserve">RWS-230152, </w:t>
      </w:r>
      <w:r w:rsidR="00FC1E7A" w:rsidRPr="008C483C">
        <w:t xml:space="preserve">On duplexing evolution, Ericsson, </w:t>
      </w:r>
      <w:r w:rsidR="0059337D" w:rsidRPr="008C483C">
        <w:t>RAN-Release 19 workshop</w:t>
      </w:r>
      <w:r w:rsidR="00444CC5" w:rsidRPr="008C483C">
        <w:t>, June 2023.</w:t>
      </w:r>
    </w:p>
    <w:p w14:paraId="715CA09B" w14:textId="4D24AC49" w:rsidR="003A7EF3" w:rsidRPr="00CE0424" w:rsidRDefault="00443150" w:rsidP="008C483C">
      <w:pPr>
        <w:pStyle w:val="Reference"/>
      </w:pPr>
      <w:r w:rsidRPr="008C483C">
        <w:t xml:space="preserve">TR </w:t>
      </w:r>
      <w:r w:rsidR="00DA0BEA" w:rsidRPr="008C483C">
        <w:t>38.828</w:t>
      </w:r>
      <w:r w:rsidR="002F6A3A" w:rsidRPr="008C483C">
        <w:t xml:space="preserve">, </w:t>
      </w:r>
      <w:r w:rsidR="00DA0BEA" w:rsidRPr="008C483C">
        <w:t>Cross Link Interference (CLI) handling and Remote Interference Management (RIM) for NR</w:t>
      </w:r>
      <w:r w:rsidR="008C483C" w:rsidRPr="008C483C">
        <w:t>.</w:t>
      </w:r>
      <w:bookmarkEnd w:id="21"/>
      <w:bookmarkEnd w:id="22"/>
    </w:p>
    <w:sectPr w:rsidR="003A7EF3" w:rsidRPr="00CE0424"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382A1F" w14:textId="77777777" w:rsidR="00D20EE9" w:rsidRDefault="00D20EE9">
      <w:r>
        <w:separator/>
      </w:r>
    </w:p>
  </w:endnote>
  <w:endnote w:type="continuationSeparator" w:id="0">
    <w:p w14:paraId="2E758CBF" w14:textId="77777777" w:rsidR="00D20EE9" w:rsidRDefault="00D20EE9">
      <w:r>
        <w:continuationSeparator/>
      </w:r>
    </w:p>
  </w:endnote>
  <w:endnote w:type="continuationNotice" w:id="1">
    <w:p w14:paraId="55EEE453" w14:textId="77777777" w:rsidR="00D20EE9" w:rsidRDefault="00D20EE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424F23" w14:textId="77777777" w:rsidR="00D20EE9" w:rsidRDefault="00D20EE9">
      <w:r>
        <w:separator/>
      </w:r>
    </w:p>
  </w:footnote>
  <w:footnote w:type="continuationSeparator" w:id="0">
    <w:p w14:paraId="2EA82F47" w14:textId="77777777" w:rsidR="00D20EE9" w:rsidRDefault="00D20EE9">
      <w:r>
        <w:continuationSeparator/>
      </w:r>
    </w:p>
  </w:footnote>
  <w:footnote w:type="continuationNotice" w:id="1">
    <w:p w14:paraId="4D9C6148" w14:textId="77777777" w:rsidR="00D20EE9" w:rsidRDefault="00D20EE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2405FED"/>
    <w:multiLevelType w:val="hybridMultilevel"/>
    <w:tmpl w:val="C300719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9EF6CE5"/>
    <w:multiLevelType w:val="hybridMultilevel"/>
    <w:tmpl w:val="CC6CEB9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404304552">
    <w:abstractNumId w:val="3"/>
  </w:num>
  <w:num w:numId="2" w16cid:durableId="69813188">
    <w:abstractNumId w:val="17"/>
  </w:num>
  <w:num w:numId="3" w16cid:durableId="1922837493">
    <w:abstractNumId w:val="13"/>
  </w:num>
  <w:num w:numId="4" w16cid:durableId="266620704">
    <w:abstractNumId w:val="14"/>
  </w:num>
  <w:num w:numId="5" w16cid:durableId="980957859">
    <w:abstractNumId w:val="10"/>
  </w:num>
  <w:num w:numId="6" w16cid:durableId="1130905483">
    <w:abstractNumId w:val="16"/>
  </w:num>
  <w:num w:numId="7" w16cid:durableId="1818380057">
    <w:abstractNumId w:val="20"/>
  </w:num>
  <w:num w:numId="8" w16cid:durableId="1575555177">
    <w:abstractNumId w:val="11"/>
  </w:num>
  <w:num w:numId="9" w16cid:durableId="859859520">
    <w:abstractNumId w:val="9"/>
  </w:num>
  <w:num w:numId="10" w16cid:durableId="1996493083">
    <w:abstractNumId w:val="2"/>
  </w:num>
  <w:num w:numId="11" w16cid:durableId="2105683940">
    <w:abstractNumId w:val="1"/>
  </w:num>
  <w:num w:numId="12" w16cid:durableId="2046832553">
    <w:abstractNumId w:val="0"/>
  </w:num>
  <w:num w:numId="13" w16cid:durableId="282807018">
    <w:abstractNumId w:val="18"/>
  </w:num>
  <w:num w:numId="14" w16cid:durableId="826438824">
    <w:abstractNumId w:val="19"/>
  </w:num>
  <w:num w:numId="15" w16cid:durableId="689725159">
    <w:abstractNumId w:val="15"/>
  </w:num>
  <w:num w:numId="16" w16cid:durableId="10954744">
    <w:abstractNumId w:val="21"/>
  </w:num>
  <w:num w:numId="17" w16cid:durableId="183830960">
    <w:abstractNumId w:val="6"/>
  </w:num>
  <w:num w:numId="18" w16cid:durableId="1606114056">
    <w:abstractNumId w:val="7"/>
  </w:num>
  <w:num w:numId="19" w16cid:durableId="2129543684">
    <w:abstractNumId w:val="4"/>
  </w:num>
  <w:num w:numId="20" w16cid:durableId="1458717335">
    <w:abstractNumId w:val="23"/>
  </w:num>
  <w:num w:numId="21" w16cid:durableId="1670518138">
    <w:abstractNumId w:val="12"/>
  </w:num>
  <w:num w:numId="22" w16cid:durableId="350379046">
    <w:abstractNumId w:val="22"/>
  </w:num>
  <w:num w:numId="23" w16cid:durableId="2009021060">
    <w:abstractNumId w:val="8"/>
  </w:num>
  <w:num w:numId="24" w16cid:durableId="265041790">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2"/>
  <w:printFractionalCharacterWidth/>
  <w:activeWritingStyle w:appName="MSWord" w:lang="en-GB" w:vendorID="64" w:dllVersion="0" w:nlCheck="1" w:checkStyle="0"/>
  <w:activeWritingStyle w:appName="MSWord" w:lang="en-U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0841"/>
    <w:rsid w:val="00002A37"/>
    <w:rsid w:val="0000564C"/>
    <w:rsid w:val="00006446"/>
    <w:rsid w:val="00006896"/>
    <w:rsid w:val="00007CDC"/>
    <w:rsid w:val="00011B28"/>
    <w:rsid w:val="00013118"/>
    <w:rsid w:val="00015D15"/>
    <w:rsid w:val="0002564D"/>
    <w:rsid w:val="00025ECA"/>
    <w:rsid w:val="00030476"/>
    <w:rsid w:val="00031C47"/>
    <w:rsid w:val="000325B8"/>
    <w:rsid w:val="00033A4F"/>
    <w:rsid w:val="00034C15"/>
    <w:rsid w:val="000363B3"/>
    <w:rsid w:val="00036BA1"/>
    <w:rsid w:val="00036E8E"/>
    <w:rsid w:val="000422E2"/>
    <w:rsid w:val="00042F22"/>
    <w:rsid w:val="00043FDA"/>
    <w:rsid w:val="000444EF"/>
    <w:rsid w:val="00050E4C"/>
    <w:rsid w:val="00052A07"/>
    <w:rsid w:val="000534E3"/>
    <w:rsid w:val="0005424C"/>
    <w:rsid w:val="0005606A"/>
    <w:rsid w:val="00057117"/>
    <w:rsid w:val="00057953"/>
    <w:rsid w:val="000616E7"/>
    <w:rsid w:val="0006487E"/>
    <w:rsid w:val="00065E1A"/>
    <w:rsid w:val="000717DF"/>
    <w:rsid w:val="00073491"/>
    <w:rsid w:val="00073E42"/>
    <w:rsid w:val="000749D5"/>
    <w:rsid w:val="0007564A"/>
    <w:rsid w:val="00075B35"/>
    <w:rsid w:val="00077E5F"/>
    <w:rsid w:val="0008036A"/>
    <w:rsid w:val="00081AE6"/>
    <w:rsid w:val="00082C26"/>
    <w:rsid w:val="000855EB"/>
    <w:rsid w:val="000859E1"/>
    <w:rsid w:val="00085B52"/>
    <w:rsid w:val="00085D51"/>
    <w:rsid w:val="000866F2"/>
    <w:rsid w:val="00087C1A"/>
    <w:rsid w:val="0009009F"/>
    <w:rsid w:val="00091557"/>
    <w:rsid w:val="000924C1"/>
    <w:rsid w:val="000924F0"/>
    <w:rsid w:val="00093474"/>
    <w:rsid w:val="00094684"/>
    <w:rsid w:val="0009510F"/>
    <w:rsid w:val="000A0C07"/>
    <w:rsid w:val="000A19E4"/>
    <w:rsid w:val="000A1B7B"/>
    <w:rsid w:val="000A3FBC"/>
    <w:rsid w:val="000A5147"/>
    <w:rsid w:val="000A56F2"/>
    <w:rsid w:val="000A668A"/>
    <w:rsid w:val="000A66B2"/>
    <w:rsid w:val="000B216E"/>
    <w:rsid w:val="000B2719"/>
    <w:rsid w:val="000B3A8F"/>
    <w:rsid w:val="000B4AB9"/>
    <w:rsid w:val="000B58C3"/>
    <w:rsid w:val="000B61E9"/>
    <w:rsid w:val="000B7670"/>
    <w:rsid w:val="000C165A"/>
    <w:rsid w:val="000C2E19"/>
    <w:rsid w:val="000C56C3"/>
    <w:rsid w:val="000C7947"/>
    <w:rsid w:val="000D0D07"/>
    <w:rsid w:val="000D4797"/>
    <w:rsid w:val="000E0527"/>
    <w:rsid w:val="000E1E92"/>
    <w:rsid w:val="000E3BDF"/>
    <w:rsid w:val="000E3FB8"/>
    <w:rsid w:val="000E5B08"/>
    <w:rsid w:val="000F0352"/>
    <w:rsid w:val="000F06D6"/>
    <w:rsid w:val="000F0EB1"/>
    <w:rsid w:val="000F1106"/>
    <w:rsid w:val="000F3BE9"/>
    <w:rsid w:val="000F3F6C"/>
    <w:rsid w:val="000F6DF3"/>
    <w:rsid w:val="001005FF"/>
    <w:rsid w:val="00103D80"/>
    <w:rsid w:val="001062FB"/>
    <w:rsid w:val="001063E6"/>
    <w:rsid w:val="00107ACF"/>
    <w:rsid w:val="0011027D"/>
    <w:rsid w:val="00111394"/>
    <w:rsid w:val="00113624"/>
    <w:rsid w:val="00113CF4"/>
    <w:rsid w:val="001153EA"/>
    <w:rsid w:val="00115643"/>
    <w:rsid w:val="001160C3"/>
    <w:rsid w:val="00116765"/>
    <w:rsid w:val="001204C6"/>
    <w:rsid w:val="001219F5"/>
    <w:rsid w:val="00121A20"/>
    <w:rsid w:val="00121E61"/>
    <w:rsid w:val="0012377F"/>
    <w:rsid w:val="00124314"/>
    <w:rsid w:val="00126B4A"/>
    <w:rsid w:val="001313EA"/>
    <w:rsid w:val="00132FD0"/>
    <w:rsid w:val="001344C0"/>
    <w:rsid w:val="001346FA"/>
    <w:rsid w:val="00135252"/>
    <w:rsid w:val="00137AB5"/>
    <w:rsid w:val="00137F0B"/>
    <w:rsid w:val="001417A1"/>
    <w:rsid w:val="00142BC8"/>
    <w:rsid w:val="00151E23"/>
    <w:rsid w:val="001526E0"/>
    <w:rsid w:val="001551B5"/>
    <w:rsid w:val="00156AFC"/>
    <w:rsid w:val="00160393"/>
    <w:rsid w:val="00162591"/>
    <w:rsid w:val="001659C1"/>
    <w:rsid w:val="0017055C"/>
    <w:rsid w:val="00173237"/>
    <w:rsid w:val="00173A8E"/>
    <w:rsid w:val="00173C59"/>
    <w:rsid w:val="00174C19"/>
    <w:rsid w:val="00174C52"/>
    <w:rsid w:val="0017502C"/>
    <w:rsid w:val="0018143F"/>
    <w:rsid w:val="00181FF8"/>
    <w:rsid w:val="00184D5D"/>
    <w:rsid w:val="00186DBE"/>
    <w:rsid w:val="00190AC1"/>
    <w:rsid w:val="0019341A"/>
    <w:rsid w:val="00196335"/>
    <w:rsid w:val="00196835"/>
    <w:rsid w:val="00197DF9"/>
    <w:rsid w:val="001A1987"/>
    <w:rsid w:val="001A2564"/>
    <w:rsid w:val="001A2D19"/>
    <w:rsid w:val="001A6173"/>
    <w:rsid w:val="001A6CBA"/>
    <w:rsid w:val="001B0D97"/>
    <w:rsid w:val="001B5A5D"/>
    <w:rsid w:val="001C1CE5"/>
    <w:rsid w:val="001C202E"/>
    <w:rsid w:val="001C2AD4"/>
    <w:rsid w:val="001C3D2A"/>
    <w:rsid w:val="001C681E"/>
    <w:rsid w:val="001C7292"/>
    <w:rsid w:val="001D26D8"/>
    <w:rsid w:val="001D3892"/>
    <w:rsid w:val="001D515E"/>
    <w:rsid w:val="001D51BA"/>
    <w:rsid w:val="001D53E7"/>
    <w:rsid w:val="001D6342"/>
    <w:rsid w:val="001D6D53"/>
    <w:rsid w:val="001D7E4E"/>
    <w:rsid w:val="001E0409"/>
    <w:rsid w:val="001E58E2"/>
    <w:rsid w:val="001E58F7"/>
    <w:rsid w:val="001E72A9"/>
    <w:rsid w:val="001E7AED"/>
    <w:rsid w:val="001F1647"/>
    <w:rsid w:val="001F2491"/>
    <w:rsid w:val="001F358A"/>
    <w:rsid w:val="001F3916"/>
    <w:rsid w:val="001F463E"/>
    <w:rsid w:val="001F4B7A"/>
    <w:rsid w:val="001F54C5"/>
    <w:rsid w:val="001F662C"/>
    <w:rsid w:val="001F7074"/>
    <w:rsid w:val="00200490"/>
    <w:rsid w:val="00201F3A"/>
    <w:rsid w:val="0020340E"/>
    <w:rsid w:val="00203F96"/>
    <w:rsid w:val="002047BD"/>
    <w:rsid w:val="002069B2"/>
    <w:rsid w:val="00206BB4"/>
    <w:rsid w:val="00207FA3"/>
    <w:rsid w:val="00214342"/>
    <w:rsid w:val="00214DA8"/>
    <w:rsid w:val="00215423"/>
    <w:rsid w:val="0021555E"/>
    <w:rsid w:val="002158FA"/>
    <w:rsid w:val="00217F46"/>
    <w:rsid w:val="00220600"/>
    <w:rsid w:val="0022193E"/>
    <w:rsid w:val="002224DB"/>
    <w:rsid w:val="00223FCB"/>
    <w:rsid w:val="002252C3"/>
    <w:rsid w:val="00225C54"/>
    <w:rsid w:val="00230765"/>
    <w:rsid w:val="00230D18"/>
    <w:rsid w:val="002319E4"/>
    <w:rsid w:val="00232603"/>
    <w:rsid w:val="002336DE"/>
    <w:rsid w:val="00233AE6"/>
    <w:rsid w:val="00235632"/>
    <w:rsid w:val="00235872"/>
    <w:rsid w:val="00236B0D"/>
    <w:rsid w:val="0024045F"/>
    <w:rsid w:val="00241559"/>
    <w:rsid w:val="002435B3"/>
    <w:rsid w:val="00243CCB"/>
    <w:rsid w:val="00244DE3"/>
    <w:rsid w:val="002458EB"/>
    <w:rsid w:val="002500C8"/>
    <w:rsid w:val="0025069F"/>
    <w:rsid w:val="002509DE"/>
    <w:rsid w:val="002531F6"/>
    <w:rsid w:val="00253A20"/>
    <w:rsid w:val="00256F79"/>
    <w:rsid w:val="00257543"/>
    <w:rsid w:val="002617E7"/>
    <w:rsid w:val="00264228"/>
    <w:rsid w:val="00264334"/>
    <w:rsid w:val="002645FC"/>
    <w:rsid w:val="0026473E"/>
    <w:rsid w:val="00264744"/>
    <w:rsid w:val="00266214"/>
    <w:rsid w:val="00267C83"/>
    <w:rsid w:val="0027144F"/>
    <w:rsid w:val="00271813"/>
    <w:rsid w:val="00271F3A"/>
    <w:rsid w:val="00273278"/>
    <w:rsid w:val="002737F4"/>
    <w:rsid w:val="002805F5"/>
    <w:rsid w:val="00280751"/>
    <w:rsid w:val="00280925"/>
    <w:rsid w:val="00282081"/>
    <w:rsid w:val="0028280A"/>
    <w:rsid w:val="00284621"/>
    <w:rsid w:val="00286ACD"/>
    <w:rsid w:val="00287838"/>
    <w:rsid w:val="0029010C"/>
    <w:rsid w:val="002907B5"/>
    <w:rsid w:val="00292EB7"/>
    <w:rsid w:val="00296227"/>
    <w:rsid w:val="00296F44"/>
    <w:rsid w:val="0029777D"/>
    <w:rsid w:val="002A055E"/>
    <w:rsid w:val="002A1D4E"/>
    <w:rsid w:val="002A2297"/>
    <w:rsid w:val="002A2406"/>
    <w:rsid w:val="002A2869"/>
    <w:rsid w:val="002A5632"/>
    <w:rsid w:val="002A578E"/>
    <w:rsid w:val="002A6A33"/>
    <w:rsid w:val="002B0724"/>
    <w:rsid w:val="002B0734"/>
    <w:rsid w:val="002B24D6"/>
    <w:rsid w:val="002B5AFE"/>
    <w:rsid w:val="002C0F8A"/>
    <w:rsid w:val="002C24FA"/>
    <w:rsid w:val="002C3A48"/>
    <w:rsid w:val="002C41E6"/>
    <w:rsid w:val="002C5F31"/>
    <w:rsid w:val="002C6B9A"/>
    <w:rsid w:val="002D071A"/>
    <w:rsid w:val="002D24EE"/>
    <w:rsid w:val="002D2A71"/>
    <w:rsid w:val="002D2F19"/>
    <w:rsid w:val="002D3298"/>
    <w:rsid w:val="002D34B2"/>
    <w:rsid w:val="002D48B0"/>
    <w:rsid w:val="002D5B37"/>
    <w:rsid w:val="002D7637"/>
    <w:rsid w:val="002E064E"/>
    <w:rsid w:val="002E0D70"/>
    <w:rsid w:val="002E10A6"/>
    <w:rsid w:val="002E17F2"/>
    <w:rsid w:val="002E1AF1"/>
    <w:rsid w:val="002E4A70"/>
    <w:rsid w:val="002E7C2C"/>
    <w:rsid w:val="002E7CAE"/>
    <w:rsid w:val="002F13E4"/>
    <w:rsid w:val="002F1988"/>
    <w:rsid w:val="002F2771"/>
    <w:rsid w:val="002F293E"/>
    <w:rsid w:val="002F2F92"/>
    <w:rsid w:val="002F37A9"/>
    <w:rsid w:val="002F41BA"/>
    <w:rsid w:val="002F48D0"/>
    <w:rsid w:val="002F6A3A"/>
    <w:rsid w:val="00301341"/>
    <w:rsid w:val="00301CE6"/>
    <w:rsid w:val="0030256B"/>
    <w:rsid w:val="00303656"/>
    <w:rsid w:val="0030501F"/>
    <w:rsid w:val="00307610"/>
    <w:rsid w:val="003076B7"/>
    <w:rsid w:val="00307BA1"/>
    <w:rsid w:val="00311050"/>
    <w:rsid w:val="00311702"/>
    <w:rsid w:val="0031175B"/>
    <w:rsid w:val="00311D70"/>
    <w:rsid w:val="00311E82"/>
    <w:rsid w:val="00313FD6"/>
    <w:rsid w:val="003143BD"/>
    <w:rsid w:val="00315363"/>
    <w:rsid w:val="003169F6"/>
    <w:rsid w:val="003203ED"/>
    <w:rsid w:val="00322C9F"/>
    <w:rsid w:val="00324D23"/>
    <w:rsid w:val="00326AEC"/>
    <w:rsid w:val="00326EC4"/>
    <w:rsid w:val="00331751"/>
    <w:rsid w:val="00333664"/>
    <w:rsid w:val="00334579"/>
    <w:rsid w:val="00335092"/>
    <w:rsid w:val="00335858"/>
    <w:rsid w:val="00336615"/>
    <w:rsid w:val="00336BDA"/>
    <w:rsid w:val="003372ED"/>
    <w:rsid w:val="0034147D"/>
    <w:rsid w:val="00342BD7"/>
    <w:rsid w:val="00346DB5"/>
    <w:rsid w:val="003477B1"/>
    <w:rsid w:val="003539C9"/>
    <w:rsid w:val="0035402B"/>
    <w:rsid w:val="00354F94"/>
    <w:rsid w:val="00357380"/>
    <w:rsid w:val="003602D9"/>
    <w:rsid w:val="003604CE"/>
    <w:rsid w:val="003623F1"/>
    <w:rsid w:val="00362A74"/>
    <w:rsid w:val="00367734"/>
    <w:rsid w:val="00367F93"/>
    <w:rsid w:val="00370E47"/>
    <w:rsid w:val="003737EA"/>
    <w:rsid w:val="003742AC"/>
    <w:rsid w:val="003756B0"/>
    <w:rsid w:val="00375CD7"/>
    <w:rsid w:val="00377CE1"/>
    <w:rsid w:val="00385BF0"/>
    <w:rsid w:val="00386BC4"/>
    <w:rsid w:val="00393566"/>
    <w:rsid w:val="003939FF"/>
    <w:rsid w:val="00397F4E"/>
    <w:rsid w:val="003A0545"/>
    <w:rsid w:val="003A1DF4"/>
    <w:rsid w:val="003A2223"/>
    <w:rsid w:val="003A2A0F"/>
    <w:rsid w:val="003A45A1"/>
    <w:rsid w:val="003A5B0A"/>
    <w:rsid w:val="003A6BAC"/>
    <w:rsid w:val="003A70A4"/>
    <w:rsid w:val="003A7EF3"/>
    <w:rsid w:val="003B0049"/>
    <w:rsid w:val="003B0313"/>
    <w:rsid w:val="003B159C"/>
    <w:rsid w:val="003B21F4"/>
    <w:rsid w:val="003B369F"/>
    <w:rsid w:val="003B36A3"/>
    <w:rsid w:val="003B4BDB"/>
    <w:rsid w:val="003B591E"/>
    <w:rsid w:val="003B5C20"/>
    <w:rsid w:val="003B64BB"/>
    <w:rsid w:val="003B7975"/>
    <w:rsid w:val="003B7FE5"/>
    <w:rsid w:val="003C09F9"/>
    <w:rsid w:val="003C11C8"/>
    <w:rsid w:val="003C2702"/>
    <w:rsid w:val="003C689F"/>
    <w:rsid w:val="003C75E4"/>
    <w:rsid w:val="003C7723"/>
    <w:rsid w:val="003C7806"/>
    <w:rsid w:val="003D0FF1"/>
    <w:rsid w:val="003D109F"/>
    <w:rsid w:val="003D1463"/>
    <w:rsid w:val="003D2478"/>
    <w:rsid w:val="003D2D06"/>
    <w:rsid w:val="003D3C45"/>
    <w:rsid w:val="003D5B1F"/>
    <w:rsid w:val="003D7FB1"/>
    <w:rsid w:val="003E0A10"/>
    <w:rsid w:val="003E15FA"/>
    <w:rsid w:val="003E33DF"/>
    <w:rsid w:val="003E466B"/>
    <w:rsid w:val="003E55E4"/>
    <w:rsid w:val="003E5A31"/>
    <w:rsid w:val="003E74E3"/>
    <w:rsid w:val="003F05C7"/>
    <w:rsid w:val="003F266F"/>
    <w:rsid w:val="003F2CD4"/>
    <w:rsid w:val="003F3749"/>
    <w:rsid w:val="003F6BBE"/>
    <w:rsid w:val="004000E8"/>
    <w:rsid w:val="00400896"/>
    <w:rsid w:val="00402E2B"/>
    <w:rsid w:val="00402E49"/>
    <w:rsid w:val="0040512B"/>
    <w:rsid w:val="00405CA5"/>
    <w:rsid w:val="00407CD3"/>
    <w:rsid w:val="00410134"/>
    <w:rsid w:val="00410B72"/>
    <w:rsid w:val="00410F18"/>
    <w:rsid w:val="0041263E"/>
    <w:rsid w:val="00413AAC"/>
    <w:rsid w:val="00413E92"/>
    <w:rsid w:val="00417F80"/>
    <w:rsid w:val="00421105"/>
    <w:rsid w:val="00421B86"/>
    <w:rsid w:val="00422AA4"/>
    <w:rsid w:val="00422E25"/>
    <w:rsid w:val="004242F4"/>
    <w:rsid w:val="00427248"/>
    <w:rsid w:val="00431F8B"/>
    <w:rsid w:val="00433598"/>
    <w:rsid w:val="004346CE"/>
    <w:rsid w:val="00435D60"/>
    <w:rsid w:val="00436470"/>
    <w:rsid w:val="00436948"/>
    <w:rsid w:val="00437447"/>
    <w:rsid w:val="00437F9F"/>
    <w:rsid w:val="00441919"/>
    <w:rsid w:val="00441A92"/>
    <w:rsid w:val="00443150"/>
    <w:rsid w:val="004431DC"/>
    <w:rsid w:val="00443748"/>
    <w:rsid w:val="00444898"/>
    <w:rsid w:val="00444CC5"/>
    <w:rsid w:val="00444F56"/>
    <w:rsid w:val="00446488"/>
    <w:rsid w:val="00446566"/>
    <w:rsid w:val="004471A6"/>
    <w:rsid w:val="004517AA"/>
    <w:rsid w:val="00451D9D"/>
    <w:rsid w:val="00452CAC"/>
    <w:rsid w:val="00453C9E"/>
    <w:rsid w:val="0045479B"/>
    <w:rsid w:val="00457565"/>
    <w:rsid w:val="00457B71"/>
    <w:rsid w:val="004618FB"/>
    <w:rsid w:val="004629DE"/>
    <w:rsid w:val="00464500"/>
    <w:rsid w:val="00464689"/>
    <w:rsid w:val="004669E2"/>
    <w:rsid w:val="00470C31"/>
    <w:rsid w:val="00471DE0"/>
    <w:rsid w:val="004734D0"/>
    <w:rsid w:val="0047556B"/>
    <w:rsid w:val="00476683"/>
    <w:rsid w:val="00477768"/>
    <w:rsid w:val="00485D72"/>
    <w:rsid w:val="00490E26"/>
    <w:rsid w:val="00492BC5"/>
    <w:rsid w:val="00494700"/>
    <w:rsid w:val="00495522"/>
    <w:rsid w:val="004964F1"/>
    <w:rsid w:val="004A16BC"/>
    <w:rsid w:val="004A1883"/>
    <w:rsid w:val="004A2B94"/>
    <w:rsid w:val="004A464A"/>
    <w:rsid w:val="004A471F"/>
    <w:rsid w:val="004A7406"/>
    <w:rsid w:val="004B2733"/>
    <w:rsid w:val="004B55C9"/>
    <w:rsid w:val="004B6F6A"/>
    <w:rsid w:val="004B7C0C"/>
    <w:rsid w:val="004B7EE5"/>
    <w:rsid w:val="004C3898"/>
    <w:rsid w:val="004C56DA"/>
    <w:rsid w:val="004D1450"/>
    <w:rsid w:val="004D15D6"/>
    <w:rsid w:val="004D34C4"/>
    <w:rsid w:val="004D35E8"/>
    <w:rsid w:val="004D36B1"/>
    <w:rsid w:val="004D4568"/>
    <w:rsid w:val="004D5568"/>
    <w:rsid w:val="004D7945"/>
    <w:rsid w:val="004D7EBD"/>
    <w:rsid w:val="004E019F"/>
    <w:rsid w:val="004E10F2"/>
    <w:rsid w:val="004E2680"/>
    <w:rsid w:val="004E28F9"/>
    <w:rsid w:val="004E44DE"/>
    <w:rsid w:val="004E462E"/>
    <w:rsid w:val="004E4D87"/>
    <w:rsid w:val="004E56DC"/>
    <w:rsid w:val="004E5817"/>
    <w:rsid w:val="004E6799"/>
    <w:rsid w:val="004E76F4"/>
    <w:rsid w:val="004E78E4"/>
    <w:rsid w:val="004F0B4E"/>
    <w:rsid w:val="004F0B6C"/>
    <w:rsid w:val="004F2078"/>
    <w:rsid w:val="004F4DA3"/>
    <w:rsid w:val="00501387"/>
    <w:rsid w:val="00501AC1"/>
    <w:rsid w:val="0050214D"/>
    <w:rsid w:val="005045D4"/>
    <w:rsid w:val="005056EE"/>
    <w:rsid w:val="00506557"/>
    <w:rsid w:val="0050677A"/>
    <w:rsid w:val="005108D8"/>
    <w:rsid w:val="005116F9"/>
    <w:rsid w:val="005153A7"/>
    <w:rsid w:val="0051576A"/>
    <w:rsid w:val="005219CF"/>
    <w:rsid w:val="00524ACE"/>
    <w:rsid w:val="00533B41"/>
    <w:rsid w:val="00534B59"/>
    <w:rsid w:val="005351FE"/>
    <w:rsid w:val="00535974"/>
    <w:rsid w:val="00535BFD"/>
    <w:rsid w:val="0053663E"/>
    <w:rsid w:val="00536759"/>
    <w:rsid w:val="00536E84"/>
    <w:rsid w:val="00537C62"/>
    <w:rsid w:val="00542352"/>
    <w:rsid w:val="00546970"/>
    <w:rsid w:val="00550148"/>
    <w:rsid w:val="00550358"/>
    <w:rsid w:val="00552989"/>
    <w:rsid w:val="00554C13"/>
    <w:rsid w:val="00554E19"/>
    <w:rsid w:val="00555D8C"/>
    <w:rsid w:val="0055783A"/>
    <w:rsid w:val="0056121F"/>
    <w:rsid w:val="0056440E"/>
    <w:rsid w:val="00564EED"/>
    <w:rsid w:val="00566911"/>
    <w:rsid w:val="00572505"/>
    <w:rsid w:val="00575EF5"/>
    <w:rsid w:val="00580B02"/>
    <w:rsid w:val="00582809"/>
    <w:rsid w:val="00586B53"/>
    <w:rsid w:val="0058798C"/>
    <w:rsid w:val="005900FA"/>
    <w:rsid w:val="0059337D"/>
    <w:rsid w:val="005935A4"/>
    <w:rsid w:val="00593816"/>
    <w:rsid w:val="005948C2"/>
    <w:rsid w:val="00595D9F"/>
    <w:rsid w:val="00595DCA"/>
    <w:rsid w:val="0059779B"/>
    <w:rsid w:val="00597FF1"/>
    <w:rsid w:val="005A0E4A"/>
    <w:rsid w:val="005A197F"/>
    <w:rsid w:val="005A209A"/>
    <w:rsid w:val="005A6610"/>
    <w:rsid w:val="005A662D"/>
    <w:rsid w:val="005B1409"/>
    <w:rsid w:val="005B2EDC"/>
    <w:rsid w:val="005B35D7"/>
    <w:rsid w:val="005B38FA"/>
    <w:rsid w:val="005B392A"/>
    <w:rsid w:val="005B3AA3"/>
    <w:rsid w:val="005B6F83"/>
    <w:rsid w:val="005C450B"/>
    <w:rsid w:val="005C66E1"/>
    <w:rsid w:val="005C734F"/>
    <w:rsid w:val="005C74FB"/>
    <w:rsid w:val="005D1602"/>
    <w:rsid w:val="005D7F70"/>
    <w:rsid w:val="005E2486"/>
    <w:rsid w:val="005E385F"/>
    <w:rsid w:val="005E5B81"/>
    <w:rsid w:val="005F14B0"/>
    <w:rsid w:val="005F233B"/>
    <w:rsid w:val="005F2CB1"/>
    <w:rsid w:val="005F3025"/>
    <w:rsid w:val="005F5B59"/>
    <w:rsid w:val="005F618C"/>
    <w:rsid w:val="005F70BD"/>
    <w:rsid w:val="0060283C"/>
    <w:rsid w:val="00603A93"/>
    <w:rsid w:val="00604F14"/>
    <w:rsid w:val="006109A0"/>
    <w:rsid w:val="00611B83"/>
    <w:rsid w:val="00613257"/>
    <w:rsid w:val="0061470E"/>
    <w:rsid w:val="00620A71"/>
    <w:rsid w:val="00620D80"/>
    <w:rsid w:val="006234A6"/>
    <w:rsid w:val="006252C4"/>
    <w:rsid w:val="00626A0A"/>
    <w:rsid w:val="00630001"/>
    <w:rsid w:val="006311B3"/>
    <w:rsid w:val="0063284C"/>
    <w:rsid w:val="00635571"/>
    <w:rsid w:val="006358F2"/>
    <w:rsid w:val="00635A89"/>
    <w:rsid w:val="00636398"/>
    <w:rsid w:val="006368D3"/>
    <w:rsid w:val="006377EC"/>
    <w:rsid w:val="00640AB7"/>
    <w:rsid w:val="0064151F"/>
    <w:rsid w:val="00641533"/>
    <w:rsid w:val="0064208D"/>
    <w:rsid w:val="00643475"/>
    <w:rsid w:val="0064396A"/>
    <w:rsid w:val="00643B6E"/>
    <w:rsid w:val="00644CF4"/>
    <w:rsid w:val="00645802"/>
    <w:rsid w:val="00645D67"/>
    <w:rsid w:val="0064624E"/>
    <w:rsid w:val="00646829"/>
    <w:rsid w:val="00647048"/>
    <w:rsid w:val="00650AB9"/>
    <w:rsid w:val="006518B7"/>
    <w:rsid w:val="006550D9"/>
    <w:rsid w:val="00655733"/>
    <w:rsid w:val="00655ACD"/>
    <w:rsid w:val="00656A92"/>
    <w:rsid w:val="00656DDE"/>
    <w:rsid w:val="0065732E"/>
    <w:rsid w:val="0066011D"/>
    <w:rsid w:val="006607C0"/>
    <w:rsid w:val="006613A6"/>
    <w:rsid w:val="006627A2"/>
    <w:rsid w:val="0066332C"/>
    <w:rsid w:val="006634E6"/>
    <w:rsid w:val="00665311"/>
    <w:rsid w:val="006655EE"/>
    <w:rsid w:val="00667EE7"/>
    <w:rsid w:val="00670922"/>
    <w:rsid w:val="00670BE1"/>
    <w:rsid w:val="0067218F"/>
    <w:rsid w:val="006741F2"/>
    <w:rsid w:val="00674CC3"/>
    <w:rsid w:val="006750B0"/>
    <w:rsid w:val="00675C72"/>
    <w:rsid w:val="006771F9"/>
    <w:rsid w:val="006776D7"/>
    <w:rsid w:val="00681003"/>
    <w:rsid w:val="006817C9"/>
    <w:rsid w:val="00683ECE"/>
    <w:rsid w:val="00684EA8"/>
    <w:rsid w:val="0068650F"/>
    <w:rsid w:val="00687232"/>
    <w:rsid w:val="00694F85"/>
    <w:rsid w:val="00695FC2"/>
    <w:rsid w:val="00696949"/>
    <w:rsid w:val="00697052"/>
    <w:rsid w:val="006A3D2F"/>
    <w:rsid w:val="006A46FB"/>
    <w:rsid w:val="006A48C4"/>
    <w:rsid w:val="006A5E28"/>
    <w:rsid w:val="006A697B"/>
    <w:rsid w:val="006A75C9"/>
    <w:rsid w:val="006A7AFF"/>
    <w:rsid w:val="006B1816"/>
    <w:rsid w:val="006B2099"/>
    <w:rsid w:val="006B3FAA"/>
    <w:rsid w:val="006B50CF"/>
    <w:rsid w:val="006B6123"/>
    <w:rsid w:val="006B7B3D"/>
    <w:rsid w:val="006C03B8"/>
    <w:rsid w:val="006C1413"/>
    <w:rsid w:val="006C553C"/>
    <w:rsid w:val="006C5EC9"/>
    <w:rsid w:val="006C6059"/>
    <w:rsid w:val="006C7522"/>
    <w:rsid w:val="006D216E"/>
    <w:rsid w:val="006D3BB4"/>
    <w:rsid w:val="006D3C43"/>
    <w:rsid w:val="006D41D3"/>
    <w:rsid w:val="006D41E6"/>
    <w:rsid w:val="006D434E"/>
    <w:rsid w:val="006D6F08"/>
    <w:rsid w:val="006D741C"/>
    <w:rsid w:val="006D7611"/>
    <w:rsid w:val="006E0101"/>
    <w:rsid w:val="006E062C"/>
    <w:rsid w:val="006E1C82"/>
    <w:rsid w:val="006E23FE"/>
    <w:rsid w:val="006E28B7"/>
    <w:rsid w:val="006E2A9B"/>
    <w:rsid w:val="006E3310"/>
    <w:rsid w:val="006E3450"/>
    <w:rsid w:val="006E4E39"/>
    <w:rsid w:val="006E565E"/>
    <w:rsid w:val="006E673D"/>
    <w:rsid w:val="006E6FDA"/>
    <w:rsid w:val="006E7D3B"/>
    <w:rsid w:val="006F1B70"/>
    <w:rsid w:val="006F341D"/>
    <w:rsid w:val="006F3CDE"/>
    <w:rsid w:val="006F581A"/>
    <w:rsid w:val="006F58D4"/>
    <w:rsid w:val="006F5A79"/>
    <w:rsid w:val="006F6582"/>
    <w:rsid w:val="006F73B1"/>
    <w:rsid w:val="0070346E"/>
    <w:rsid w:val="00704EDB"/>
    <w:rsid w:val="00705CEC"/>
    <w:rsid w:val="00706101"/>
    <w:rsid w:val="00707072"/>
    <w:rsid w:val="00707D61"/>
    <w:rsid w:val="00712287"/>
    <w:rsid w:val="00712772"/>
    <w:rsid w:val="00714412"/>
    <w:rsid w:val="007146F9"/>
    <w:rsid w:val="007148D3"/>
    <w:rsid w:val="00715B9A"/>
    <w:rsid w:val="00715CDC"/>
    <w:rsid w:val="00720E5A"/>
    <w:rsid w:val="00721B32"/>
    <w:rsid w:val="007243A4"/>
    <w:rsid w:val="007252A4"/>
    <w:rsid w:val="007257D0"/>
    <w:rsid w:val="00725D36"/>
    <w:rsid w:val="00726EA6"/>
    <w:rsid w:val="00727208"/>
    <w:rsid w:val="00727680"/>
    <w:rsid w:val="00727DE6"/>
    <w:rsid w:val="00730C32"/>
    <w:rsid w:val="007312E5"/>
    <w:rsid w:val="007327EF"/>
    <w:rsid w:val="007348B1"/>
    <w:rsid w:val="007362A6"/>
    <w:rsid w:val="00736D7D"/>
    <w:rsid w:val="00740B8D"/>
    <w:rsid w:val="00740E58"/>
    <w:rsid w:val="00742671"/>
    <w:rsid w:val="007445A0"/>
    <w:rsid w:val="0074524B"/>
    <w:rsid w:val="00745F87"/>
    <w:rsid w:val="00746E75"/>
    <w:rsid w:val="00747BE4"/>
    <w:rsid w:val="00747D8B"/>
    <w:rsid w:val="0075072B"/>
    <w:rsid w:val="007507AE"/>
    <w:rsid w:val="00751228"/>
    <w:rsid w:val="007515D0"/>
    <w:rsid w:val="00754F79"/>
    <w:rsid w:val="007571E1"/>
    <w:rsid w:val="007604B2"/>
    <w:rsid w:val="00762BDA"/>
    <w:rsid w:val="00765281"/>
    <w:rsid w:val="00766BAD"/>
    <w:rsid w:val="00767C2F"/>
    <w:rsid w:val="007729A2"/>
    <w:rsid w:val="007746C2"/>
    <w:rsid w:val="007755F2"/>
    <w:rsid w:val="00776971"/>
    <w:rsid w:val="007779C3"/>
    <w:rsid w:val="00780330"/>
    <w:rsid w:val="00780A80"/>
    <w:rsid w:val="0078177E"/>
    <w:rsid w:val="0078304C"/>
    <w:rsid w:val="00783673"/>
    <w:rsid w:val="00785490"/>
    <w:rsid w:val="007855FA"/>
    <w:rsid w:val="00785CB5"/>
    <w:rsid w:val="007925EA"/>
    <w:rsid w:val="00793CD8"/>
    <w:rsid w:val="00794552"/>
    <w:rsid w:val="00795C92"/>
    <w:rsid w:val="0079609F"/>
    <w:rsid w:val="00796231"/>
    <w:rsid w:val="00797173"/>
    <w:rsid w:val="007A1CB3"/>
    <w:rsid w:val="007A1DE7"/>
    <w:rsid w:val="007A306F"/>
    <w:rsid w:val="007A43A6"/>
    <w:rsid w:val="007A44B6"/>
    <w:rsid w:val="007A556A"/>
    <w:rsid w:val="007A58A6"/>
    <w:rsid w:val="007A75B7"/>
    <w:rsid w:val="007B08EE"/>
    <w:rsid w:val="007B1884"/>
    <w:rsid w:val="007B23C8"/>
    <w:rsid w:val="007B3D2D"/>
    <w:rsid w:val="007B50AE"/>
    <w:rsid w:val="007B51DF"/>
    <w:rsid w:val="007B5C7C"/>
    <w:rsid w:val="007C05DD"/>
    <w:rsid w:val="007C09BC"/>
    <w:rsid w:val="007C3D18"/>
    <w:rsid w:val="007C60BF"/>
    <w:rsid w:val="007C6A07"/>
    <w:rsid w:val="007C75A1"/>
    <w:rsid w:val="007C77A5"/>
    <w:rsid w:val="007D04E5"/>
    <w:rsid w:val="007D1296"/>
    <w:rsid w:val="007D5901"/>
    <w:rsid w:val="007D60E5"/>
    <w:rsid w:val="007D6397"/>
    <w:rsid w:val="007D67A0"/>
    <w:rsid w:val="007D6FC9"/>
    <w:rsid w:val="007D7526"/>
    <w:rsid w:val="007E08ED"/>
    <w:rsid w:val="007E4610"/>
    <w:rsid w:val="007E4715"/>
    <w:rsid w:val="007E49CE"/>
    <w:rsid w:val="007E505B"/>
    <w:rsid w:val="007E7091"/>
    <w:rsid w:val="007E7D2D"/>
    <w:rsid w:val="007E7DBB"/>
    <w:rsid w:val="007F156D"/>
    <w:rsid w:val="007F2771"/>
    <w:rsid w:val="007F78BB"/>
    <w:rsid w:val="0080022E"/>
    <w:rsid w:val="00803FAE"/>
    <w:rsid w:val="00804A7F"/>
    <w:rsid w:val="008052A0"/>
    <w:rsid w:val="0080605F"/>
    <w:rsid w:val="00807786"/>
    <w:rsid w:val="00811FCB"/>
    <w:rsid w:val="008158D6"/>
    <w:rsid w:val="00817196"/>
    <w:rsid w:val="0082234D"/>
    <w:rsid w:val="008235DB"/>
    <w:rsid w:val="00823E8C"/>
    <w:rsid w:val="00824AB4"/>
    <w:rsid w:val="00825048"/>
    <w:rsid w:val="00825C42"/>
    <w:rsid w:val="00825D25"/>
    <w:rsid w:val="00827BCE"/>
    <w:rsid w:val="00827D6F"/>
    <w:rsid w:val="00831F4F"/>
    <w:rsid w:val="0083354F"/>
    <w:rsid w:val="00834ABB"/>
    <w:rsid w:val="008376AC"/>
    <w:rsid w:val="008444E8"/>
    <w:rsid w:val="00844E80"/>
    <w:rsid w:val="00846FE7"/>
    <w:rsid w:val="00847E2B"/>
    <w:rsid w:val="008527D9"/>
    <w:rsid w:val="00856911"/>
    <w:rsid w:val="008609E9"/>
    <w:rsid w:val="008615A4"/>
    <w:rsid w:val="00861C6C"/>
    <w:rsid w:val="00862A21"/>
    <w:rsid w:val="00862DE9"/>
    <w:rsid w:val="00865B91"/>
    <w:rsid w:val="00865FED"/>
    <w:rsid w:val="0086685B"/>
    <w:rsid w:val="00867730"/>
    <w:rsid w:val="008677FD"/>
    <w:rsid w:val="008706D4"/>
    <w:rsid w:val="00870F8A"/>
    <w:rsid w:val="008719A4"/>
    <w:rsid w:val="00871D23"/>
    <w:rsid w:val="00874312"/>
    <w:rsid w:val="0087437C"/>
    <w:rsid w:val="00875CD7"/>
    <w:rsid w:val="00876B4D"/>
    <w:rsid w:val="00877948"/>
    <w:rsid w:val="00877F18"/>
    <w:rsid w:val="00880E76"/>
    <w:rsid w:val="00880FED"/>
    <w:rsid w:val="008813D8"/>
    <w:rsid w:val="00881F72"/>
    <w:rsid w:val="00883C0D"/>
    <w:rsid w:val="008853A8"/>
    <w:rsid w:val="00886595"/>
    <w:rsid w:val="00891D04"/>
    <w:rsid w:val="008941E3"/>
    <w:rsid w:val="00894A88"/>
    <w:rsid w:val="00895386"/>
    <w:rsid w:val="00896058"/>
    <w:rsid w:val="008A1C60"/>
    <w:rsid w:val="008A21FF"/>
    <w:rsid w:val="008A2CE2"/>
    <w:rsid w:val="008A30AC"/>
    <w:rsid w:val="008A44B8"/>
    <w:rsid w:val="008A51A8"/>
    <w:rsid w:val="008A54C7"/>
    <w:rsid w:val="008A77D8"/>
    <w:rsid w:val="008B0483"/>
    <w:rsid w:val="008B120C"/>
    <w:rsid w:val="008B51A0"/>
    <w:rsid w:val="008B592A"/>
    <w:rsid w:val="008B5992"/>
    <w:rsid w:val="008B714B"/>
    <w:rsid w:val="008B7B5C"/>
    <w:rsid w:val="008C0C99"/>
    <w:rsid w:val="008C2017"/>
    <w:rsid w:val="008C4423"/>
    <w:rsid w:val="008C483C"/>
    <w:rsid w:val="008C4958"/>
    <w:rsid w:val="008C4A1A"/>
    <w:rsid w:val="008C4BAA"/>
    <w:rsid w:val="008C6AE8"/>
    <w:rsid w:val="008C7573"/>
    <w:rsid w:val="008D00A5"/>
    <w:rsid w:val="008D2181"/>
    <w:rsid w:val="008D34F1"/>
    <w:rsid w:val="008D39D8"/>
    <w:rsid w:val="008D6D1A"/>
    <w:rsid w:val="008E065E"/>
    <w:rsid w:val="008E0927"/>
    <w:rsid w:val="008E1909"/>
    <w:rsid w:val="008E2DAA"/>
    <w:rsid w:val="008E44E1"/>
    <w:rsid w:val="008E7845"/>
    <w:rsid w:val="008F08E4"/>
    <w:rsid w:val="008F1C4E"/>
    <w:rsid w:val="008F1EAB"/>
    <w:rsid w:val="008F33DC"/>
    <w:rsid w:val="008F477F"/>
    <w:rsid w:val="00901733"/>
    <w:rsid w:val="00902350"/>
    <w:rsid w:val="0090336B"/>
    <w:rsid w:val="00904BA0"/>
    <w:rsid w:val="009053AA"/>
    <w:rsid w:val="009055B6"/>
    <w:rsid w:val="00905CC1"/>
    <w:rsid w:val="00906939"/>
    <w:rsid w:val="009079ED"/>
    <w:rsid w:val="00910B7D"/>
    <w:rsid w:val="00911DFB"/>
    <w:rsid w:val="009128AE"/>
    <w:rsid w:val="009139D9"/>
    <w:rsid w:val="00914AD8"/>
    <w:rsid w:val="00916079"/>
    <w:rsid w:val="009179EA"/>
    <w:rsid w:val="00917CE9"/>
    <w:rsid w:val="0092059F"/>
    <w:rsid w:val="0092075B"/>
    <w:rsid w:val="00920BF2"/>
    <w:rsid w:val="00921B09"/>
    <w:rsid w:val="00922010"/>
    <w:rsid w:val="00925A9F"/>
    <w:rsid w:val="009317E1"/>
    <w:rsid w:val="00931BD9"/>
    <w:rsid w:val="009368F3"/>
    <w:rsid w:val="009372CD"/>
    <w:rsid w:val="00941084"/>
    <w:rsid w:val="00941636"/>
    <w:rsid w:val="00943742"/>
    <w:rsid w:val="00945C05"/>
    <w:rsid w:val="00945CF0"/>
    <w:rsid w:val="00946300"/>
    <w:rsid w:val="00946945"/>
    <w:rsid w:val="00947713"/>
    <w:rsid w:val="00950329"/>
    <w:rsid w:val="00950DE7"/>
    <w:rsid w:val="00951A6A"/>
    <w:rsid w:val="00953920"/>
    <w:rsid w:val="00953D47"/>
    <w:rsid w:val="0095651A"/>
    <w:rsid w:val="0095681E"/>
    <w:rsid w:val="00957118"/>
    <w:rsid w:val="009572D4"/>
    <w:rsid w:val="0095775F"/>
    <w:rsid w:val="00961921"/>
    <w:rsid w:val="009629D8"/>
    <w:rsid w:val="009634FA"/>
    <w:rsid w:val="0096430A"/>
    <w:rsid w:val="0096554B"/>
    <w:rsid w:val="0096584A"/>
    <w:rsid w:val="0097033C"/>
    <w:rsid w:val="00971F08"/>
    <w:rsid w:val="009759EB"/>
    <w:rsid w:val="0097603D"/>
    <w:rsid w:val="00976949"/>
    <w:rsid w:val="00980477"/>
    <w:rsid w:val="009825B6"/>
    <w:rsid w:val="00985253"/>
    <w:rsid w:val="009853B3"/>
    <w:rsid w:val="0098604C"/>
    <w:rsid w:val="00990630"/>
    <w:rsid w:val="00991761"/>
    <w:rsid w:val="00991F25"/>
    <w:rsid w:val="00994DCA"/>
    <w:rsid w:val="009960EC"/>
    <w:rsid w:val="009970DD"/>
    <w:rsid w:val="009A0FBA"/>
    <w:rsid w:val="009A1601"/>
    <w:rsid w:val="009A3BB6"/>
    <w:rsid w:val="009A462D"/>
    <w:rsid w:val="009A556A"/>
    <w:rsid w:val="009A5CBA"/>
    <w:rsid w:val="009A6C3C"/>
    <w:rsid w:val="009B1F30"/>
    <w:rsid w:val="009B2846"/>
    <w:rsid w:val="009B2F5E"/>
    <w:rsid w:val="009B3AC2"/>
    <w:rsid w:val="009B43B1"/>
    <w:rsid w:val="009B4DF4"/>
    <w:rsid w:val="009B525B"/>
    <w:rsid w:val="009B564E"/>
    <w:rsid w:val="009B56A1"/>
    <w:rsid w:val="009B7E87"/>
    <w:rsid w:val="009C0169"/>
    <w:rsid w:val="009C19F2"/>
    <w:rsid w:val="009C1D60"/>
    <w:rsid w:val="009C403E"/>
    <w:rsid w:val="009C50F8"/>
    <w:rsid w:val="009D0154"/>
    <w:rsid w:val="009D1BFC"/>
    <w:rsid w:val="009D4FF0"/>
    <w:rsid w:val="009D6780"/>
    <w:rsid w:val="009D703C"/>
    <w:rsid w:val="009D718F"/>
    <w:rsid w:val="009D7521"/>
    <w:rsid w:val="009D76A0"/>
    <w:rsid w:val="009E068F"/>
    <w:rsid w:val="009E14E0"/>
    <w:rsid w:val="009E265D"/>
    <w:rsid w:val="009E35DB"/>
    <w:rsid w:val="009E37A3"/>
    <w:rsid w:val="009E3F68"/>
    <w:rsid w:val="009E47A3"/>
    <w:rsid w:val="009F08F3"/>
    <w:rsid w:val="009F344F"/>
    <w:rsid w:val="009F5853"/>
    <w:rsid w:val="00A002C3"/>
    <w:rsid w:val="00A031D8"/>
    <w:rsid w:val="00A03923"/>
    <w:rsid w:val="00A03DAF"/>
    <w:rsid w:val="00A048A8"/>
    <w:rsid w:val="00A04F49"/>
    <w:rsid w:val="00A0799A"/>
    <w:rsid w:val="00A13E54"/>
    <w:rsid w:val="00A1626E"/>
    <w:rsid w:val="00A17F63"/>
    <w:rsid w:val="00A2193B"/>
    <w:rsid w:val="00A2351A"/>
    <w:rsid w:val="00A2397B"/>
    <w:rsid w:val="00A239B2"/>
    <w:rsid w:val="00A264A9"/>
    <w:rsid w:val="00A26DCF"/>
    <w:rsid w:val="00A27785"/>
    <w:rsid w:val="00A30187"/>
    <w:rsid w:val="00A31204"/>
    <w:rsid w:val="00A3448A"/>
    <w:rsid w:val="00A356B9"/>
    <w:rsid w:val="00A36297"/>
    <w:rsid w:val="00A362AD"/>
    <w:rsid w:val="00A41E2B"/>
    <w:rsid w:val="00A423A3"/>
    <w:rsid w:val="00A42473"/>
    <w:rsid w:val="00A45B74"/>
    <w:rsid w:val="00A465C2"/>
    <w:rsid w:val="00A50239"/>
    <w:rsid w:val="00A52E1D"/>
    <w:rsid w:val="00A557A8"/>
    <w:rsid w:val="00A57210"/>
    <w:rsid w:val="00A61499"/>
    <w:rsid w:val="00A62A77"/>
    <w:rsid w:val="00A63483"/>
    <w:rsid w:val="00A657D7"/>
    <w:rsid w:val="00A660AC"/>
    <w:rsid w:val="00A67E6C"/>
    <w:rsid w:val="00A71B99"/>
    <w:rsid w:val="00A73440"/>
    <w:rsid w:val="00A739D0"/>
    <w:rsid w:val="00A7554E"/>
    <w:rsid w:val="00A76167"/>
    <w:rsid w:val="00A761D4"/>
    <w:rsid w:val="00A7635F"/>
    <w:rsid w:val="00A77EC4"/>
    <w:rsid w:val="00A77F82"/>
    <w:rsid w:val="00A81DF3"/>
    <w:rsid w:val="00A81FE6"/>
    <w:rsid w:val="00A82FF3"/>
    <w:rsid w:val="00A857BE"/>
    <w:rsid w:val="00A87AAC"/>
    <w:rsid w:val="00A92879"/>
    <w:rsid w:val="00A9442A"/>
    <w:rsid w:val="00AA00A9"/>
    <w:rsid w:val="00AA016F"/>
    <w:rsid w:val="00AA09D6"/>
    <w:rsid w:val="00AA1ED6"/>
    <w:rsid w:val="00AA2B7E"/>
    <w:rsid w:val="00AA51D6"/>
    <w:rsid w:val="00AA6256"/>
    <w:rsid w:val="00AA7868"/>
    <w:rsid w:val="00AA7BC7"/>
    <w:rsid w:val="00AB0BC8"/>
    <w:rsid w:val="00AB11CA"/>
    <w:rsid w:val="00AB14D9"/>
    <w:rsid w:val="00AB1E0F"/>
    <w:rsid w:val="00AB3B63"/>
    <w:rsid w:val="00AB4AB8"/>
    <w:rsid w:val="00AB51B4"/>
    <w:rsid w:val="00AB55C5"/>
    <w:rsid w:val="00AB655E"/>
    <w:rsid w:val="00AB6BBB"/>
    <w:rsid w:val="00AC007F"/>
    <w:rsid w:val="00AC2ECD"/>
    <w:rsid w:val="00AC3119"/>
    <w:rsid w:val="00AC49FB"/>
    <w:rsid w:val="00AC5A10"/>
    <w:rsid w:val="00AD0AA3"/>
    <w:rsid w:val="00AD2ED0"/>
    <w:rsid w:val="00AD3B7E"/>
    <w:rsid w:val="00AD3F94"/>
    <w:rsid w:val="00AD4A5A"/>
    <w:rsid w:val="00AD5C71"/>
    <w:rsid w:val="00AD7B0C"/>
    <w:rsid w:val="00AE27AC"/>
    <w:rsid w:val="00AE2DF1"/>
    <w:rsid w:val="00AE3668"/>
    <w:rsid w:val="00AE40E0"/>
    <w:rsid w:val="00AE4DBA"/>
    <w:rsid w:val="00AE4F07"/>
    <w:rsid w:val="00AE6D9A"/>
    <w:rsid w:val="00AF1634"/>
    <w:rsid w:val="00AF1C5D"/>
    <w:rsid w:val="00AF42D7"/>
    <w:rsid w:val="00AF7D52"/>
    <w:rsid w:val="00B006FE"/>
    <w:rsid w:val="00B007CB"/>
    <w:rsid w:val="00B02AA9"/>
    <w:rsid w:val="00B02FA3"/>
    <w:rsid w:val="00B0413C"/>
    <w:rsid w:val="00B05084"/>
    <w:rsid w:val="00B0523A"/>
    <w:rsid w:val="00B10033"/>
    <w:rsid w:val="00B12083"/>
    <w:rsid w:val="00B15103"/>
    <w:rsid w:val="00B157F9"/>
    <w:rsid w:val="00B167C8"/>
    <w:rsid w:val="00B16D04"/>
    <w:rsid w:val="00B20256"/>
    <w:rsid w:val="00B20D09"/>
    <w:rsid w:val="00B263F8"/>
    <w:rsid w:val="00B2757F"/>
    <w:rsid w:val="00B2763F"/>
    <w:rsid w:val="00B27AAC"/>
    <w:rsid w:val="00B30929"/>
    <w:rsid w:val="00B362DB"/>
    <w:rsid w:val="00B372AA"/>
    <w:rsid w:val="00B400A2"/>
    <w:rsid w:val="00B40445"/>
    <w:rsid w:val="00B409E0"/>
    <w:rsid w:val="00B41888"/>
    <w:rsid w:val="00B44924"/>
    <w:rsid w:val="00B45A52"/>
    <w:rsid w:val="00B46175"/>
    <w:rsid w:val="00B475C4"/>
    <w:rsid w:val="00B548B7"/>
    <w:rsid w:val="00B5674F"/>
    <w:rsid w:val="00B60947"/>
    <w:rsid w:val="00B60A86"/>
    <w:rsid w:val="00B664C7"/>
    <w:rsid w:val="00B668C9"/>
    <w:rsid w:val="00B678E7"/>
    <w:rsid w:val="00B67D53"/>
    <w:rsid w:val="00B713D8"/>
    <w:rsid w:val="00B72FA0"/>
    <w:rsid w:val="00B739F6"/>
    <w:rsid w:val="00B77764"/>
    <w:rsid w:val="00B81A6C"/>
    <w:rsid w:val="00B8260A"/>
    <w:rsid w:val="00B83920"/>
    <w:rsid w:val="00B85DE5"/>
    <w:rsid w:val="00B87CCC"/>
    <w:rsid w:val="00B87CF6"/>
    <w:rsid w:val="00B87F1F"/>
    <w:rsid w:val="00B87FE2"/>
    <w:rsid w:val="00B90D27"/>
    <w:rsid w:val="00B90F73"/>
    <w:rsid w:val="00B9217C"/>
    <w:rsid w:val="00B92BB2"/>
    <w:rsid w:val="00B93B59"/>
    <w:rsid w:val="00B9406A"/>
    <w:rsid w:val="00B95231"/>
    <w:rsid w:val="00BA2280"/>
    <w:rsid w:val="00BA2A08"/>
    <w:rsid w:val="00BA56D2"/>
    <w:rsid w:val="00BA6521"/>
    <w:rsid w:val="00BA76E0"/>
    <w:rsid w:val="00BB2A25"/>
    <w:rsid w:val="00BB51E9"/>
    <w:rsid w:val="00BC098D"/>
    <w:rsid w:val="00BC0FDC"/>
    <w:rsid w:val="00BC3053"/>
    <w:rsid w:val="00BC4D2E"/>
    <w:rsid w:val="00BC528E"/>
    <w:rsid w:val="00BD307B"/>
    <w:rsid w:val="00BD48AC"/>
    <w:rsid w:val="00BD5F1A"/>
    <w:rsid w:val="00BD6714"/>
    <w:rsid w:val="00BE1234"/>
    <w:rsid w:val="00BE2FA6"/>
    <w:rsid w:val="00BE333F"/>
    <w:rsid w:val="00BE38DD"/>
    <w:rsid w:val="00BE44F9"/>
    <w:rsid w:val="00BE4B31"/>
    <w:rsid w:val="00BE563B"/>
    <w:rsid w:val="00BE5F58"/>
    <w:rsid w:val="00BE7406"/>
    <w:rsid w:val="00BE7603"/>
    <w:rsid w:val="00BF3279"/>
    <w:rsid w:val="00BF74C7"/>
    <w:rsid w:val="00C015F1"/>
    <w:rsid w:val="00C01F33"/>
    <w:rsid w:val="00C025F8"/>
    <w:rsid w:val="00C02CC6"/>
    <w:rsid w:val="00C02EE6"/>
    <w:rsid w:val="00C040F7"/>
    <w:rsid w:val="00C043A5"/>
    <w:rsid w:val="00C044AB"/>
    <w:rsid w:val="00C04A0D"/>
    <w:rsid w:val="00C05706"/>
    <w:rsid w:val="00C07377"/>
    <w:rsid w:val="00C10308"/>
    <w:rsid w:val="00C10478"/>
    <w:rsid w:val="00C10A47"/>
    <w:rsid w:val="00C10FD8"/>
    <w:rsid w:val="00C1125D"/>
    <w:rsid w:val="00C12107"/>
    <w:rsid w:val="00C14C78"/>
    <w:rsid w:val="00C14D4B"/>
    <w:rsid w:val="00C154BB"/>
    <w:rsid w:val="00C229DA"/>
    <w:rsid w:val="00C273A1"/>
    <w:rsid w:val="00C279B5"/>
    <w:rsid w:val="00C27C45"/>
    <w:rsid w:val="00C3719D"/>
    <w:rsid w:val="00C37CB2"/>
    <w:rsid w:val="00C424C5"/>
    <w:rsid w:val="00C427F1"/>
    <w:rsid w:val="00C42E13"/>
    <w:rsid w:val="00C473A5"/>
    <w:rsid w:val="00C54995"/>
    <w:rsid w:val="00C54D41"/>
    <w:rsid w:val="00C60783"/>
    <w:rsid w:val="00C60F71"/>
    <w:rsid w:val="00C62DA4"/>
    <w:rsid w:val="00C64672"/>
    <w:rsid w:val="00C70697"/>
    <w:rsid w:val="00C72093"/>
    <w:rsid w:val="00C722D4"/>
    <w:rsid w:val="00C72EF4"/>
    <w:rsid w:val="00C744FE"/>
    <w:rsid w:val="00C75D2F"/>
    <w:rsid w:val="00C767BE"/>
    <w:rsid w:val="00C76E3C"/>
    <w:rsid w:val="00C81568"/>
    <w:rsid w:val="00C83903"/>
    <w:rsid w:val="00C9027A"/>
    <w:rsid w:val="00C9068E"/>
    <w:rsid w:val="00C91844"/>
    <w:rsid w:val="00C923A8"/>
    <w:rsid w:val="00C93814"/>
    <w:rsid w:val="00C93C4B"/>
    <w:rsid w:val="00C93CBA"/>
    <w:rsid w:val="00C944AB"/>
    <w:rsid w:val="00C94F74"/>
    <w:rsid w:val="00C95B40"/>
    <w:rsid w:val="00CA1ED8"/>
    <w:rsid w:val="00CA24B3"/>
    <w:rsid w:val="00CB0F5F"/>
    <w:rsid w:val="00CB10A3"/>
    <w:rsid w:val="00CB1F63"/>
    <w:rsid w:val="00CB2ADA"/>
    <w:rsid w:val="00CB7170"/>
    <w:rsid w:val="00CC010A"/>
    <w:rsid w:val="00CC040E"/>
    <w:rsid w:val="00CC111F"/>
    <w:rsid w:val="00CC2011"/>
    <w:rsid w:val="00CC3EA0"/>
    <w:rsid w:val="00CC7B45"/>
    <w:rsid w:val="00CD1188"/>
    <w:rsid w:val="00CD14A6"/>
    <w:rsid w:val="00CD2ED1"/>
    <w:rsid w:val="00CD337B"/>
    <w:rsid w:val="00CD6CEB"/>
    <w:rsid w:val="00CE0424"/>
    <w:rsid w:val="00CE1916"/>
    <w:rsid w:val="00CE27DB"/>
    <w:rsid w:val="00CE3641"/>
    <w:rsid w:val="00CE7561"/>
    <w:rsid w:val="00CF09E9"/>
    <w:rsid w:val="00CF1354"/>
    <w:rsid w:val="00CF3413"/>
    <w:rsid w:val="00CF3A41"/>
    <w:rsid w:val="00CF3B1F"/>
    <w:rsid w:val="00CF3BF6"/>
    <w:rsid w:val="00CF4915"/>
    <w:rsid w:val="00CF61C2"/>
    <w:rsid w:val="00CF625B"/>
    <w:rsid w:val="00CF687E"/>
    <w:rsid w:val="00CF6C13"/>
    <w:rsid w:val="00D02BF3"/>
    <w:rsid w:val="00D0349B"/>
    <w:rsid w:val="00D05F3A"/>
    <w:rsid w:val="00D072B9"/>
    <w:rsid w:val="00D10249"/>
    <w:rsid w:val="00D115C3"/>
    <w:rsid w:val="00D11897"/>
    <w:rsid w:val="00D13135"/>
    <w:rsid w:val="00D13E4E"/>
    <w:rsid w:val="00D20009"/>
    <w:rsid w:val="00D20EE9"/>
    <w:rsid w:val="00D210D4"/>
    <w:rsid w:val="00D239A7"/>
    <w:rsid w:val="00D23F47"/>
    <w:rsid w:val="00D26B01"/>
    <w:rsid w:val="00D3046E"/>
    <w:rsid w:val="00D31B4A"/>
    <w:rsid w:val="00D33611"/>
    <w:rsid w:val="00D35C35"/>
    <w:rsid w:val="00D36E71"/>
    <w:rsid w:val="00D37D87"/>
    <w:rsid w:val="00D37E8C"/>
    <w:rsid w:val="00D40B33"/>
    <w:rsid w:val="00D41765"/>
    <w:rsid w:val="00D4318F"/>
    <w:rsid w:val="00D438BF"/>
    <w:rsid w:val="00D440F8"/>
    <w:rsid w:val="00D4456D"/>
    <w:rsid w:val="00D45F0D"/>
    <w:rsid w:val="00D50193"/>
    <w:rsid w:val="00D50A5C"/>
    <w:rsid w:val="00D546FF"/>
    <w:rsid w:val="00D55AD5"/>
    <w:rsid w:val="00D55D89"/>
    <w:rsid w:val="00D576CA"/>
    <w:rsid w:val="00D57D8B"/>
    <w:rsid w:val="00D61AF5"/>
    <w:rsid w:val="00D6266F"/>
    <w:rsid w:val="00D652B5"/>
    <w:rsid w:val="00D66155"/>
    <w:rsid w:val="00D673A2"/>
    <w:rsid w:val="00D67847"/>
    <w:rsid w:val="00D708B0"/>
    <w:rsid w:val="00D70B8F"/>
    <w:rsid w:val="00D77B1D"/>
    <w:rsid w:val="00D8021F"/>
    <w:rsid w:val="00D80383"/>
    <w:rsid w:val="00D80421"/>
    <w:rsid w:val="00D81D24"/>
    <w:rsid w:val="00D82398"/>
    <w:rsid w:val="00D823C6"/>
    <w:rsid w:val="00D8327F"/>
    <w:rsid w:val="00D84B58"/>
    <w:rsid w:val="00D854E0"/>
    <w:rsid w:val="00D86CA3"/>
    <w:rsid w:val="00D871CE"/>
    <w:rsid w:val="00D876CB"/>
    <w:rsid w:val="00D9196D"/>
    <w:rsid w:val="00D92311"/>
    <w:rsid w:val="00D92982"/>
    <w:rsid w:val="00DA0BEA"/>
    <w:rsid w:val="00DA305E"/>
    <w:rsid w:val="00DA3243"/>
    <w:rsid w:val="00DA5417"/>
    <w:rsid w:val="00DA56E8"/>
    <w:rsid w:val="00DA7E6F"/>
    <w:rsid w:val="00DB061F"/>
    <w:rsid w:val="00DB0A9F"/>
    <w:rsid w:val="00DB377D"/>
    <w:rsid w:val="00DB6C25"/>
    <w:rsid w:val="00DB6FD3"/>
    <w:rsid w:val="00DB7C4A"/>
    <w:rsid w:val="00DC00A2"/>
    <w:rsid w:val="00DC0A87"/>
    <w:rsid w:val="00DC2D36"/>
    <w:rsid w:val="00DC433A"/>
    <w:rsid w:val="00DC53EF"/>
    <w:rsid w:val="00DD075A"/>
    <w:rsid w:val="00DD0DFB"/>
    <w:rsid w:val="00DD26FE"/>
    <w:rsid w:val="00DD6A7D"/>
    <w:rsid w:val="00DD7371"/>
    <w:rsid w:val="00DE064C"/>
    <w:rsid w:val="00DE0CD5"/>
    <w:rsid w:val="00DE5608"/>
    <w:rsid w:val="00DE58D0"/>
    <w:rsid w:val="00DE5937"/>
    <w:rsid w:val="00DE654F"/>
    <w:rsid w:val="00DF0B6E"/>
    <w:rsid w:val="00DF15E0"/>
    <w:rsid w:val="00DF2FEA"/>
    <w:rsid w:val="00DF37A0"/>
    <w:rsid w:val="00DF74E1"/>
    <w:rsid w:val="00E0499F"/>
    <w:rsid w:val="00E1032A"/>
    <w:rsid w:val="00E110E7"/>
    <w:rsid w:val="00E11B20"/>
    <w:rsid w:val="00E15BD7"/>
    <w:rsid w:val="00E17FA2"/>
    <w:rsid w:val="00E2014D"/>
    <w:rsid w:val="00E22330"/>
    <w:rsid w:val="00E2308E"/>
    <w:rsid w:val="00E30B5A"/>
    <w:rsid w:val="00E3123D"/>
    <w:rsid w:val="00E31461"/>
    <w:rsid w:val="00E31D43"/>
    <w:rsid w:val="00E322ED"/>
    <w:rsid w:val="00E32608"/>
    <w:rsid w:val="00E34188"/>
    <w:rsid w:val="00E34B6E"/>
    <w:rsid w:val="00E34FD6"/>
    <w:rsid w:val="00E35559"/>
    <w:rsid w:val="00E3723A"/>
    <w:rsid w:val="00E37860"/>
    <w:rsid w:val="00E446F1"/>
    <w:rsid w:val="00E46886"/>
    <w:rsid w:val="00E4705D"/>
    <w:rsid w:val="00E4737B"/>
    <w:rsid w:val="00E47AEF"/>
    <w:rsid w:val="00E47CE3"/>
    <w:rsid w:val="00E5310F"/>
    <w:rsid w:val="00E53B75"/>
    <w:rsid w:val="00E54E3B"/>
    <w:rsid w:val="00E55724"/>
    <w:rsid w:val="00E55DDA"/>
    <w:rsid w:val="00E57565"/>
    <w:rsid w:val="00E6079C"/>
    <w:rsid w:val="00E63838"/>
    <w:rsid w:val="00E6392A"/>
    <w:rsid w:val="00E642A8"/>
    <w:rsid w:val="00E643D4"/>
    <w:rsid w:val="00E64434"/>
    <w:rsid w:val="00E67C51"/>
    <w:rsid w:val="00E72EFC"/>
    <w:rsid w:val="00E758EC"/>
    <w:rsid w:val="00E76115"/>
    <w:rsid w:val="00E76FD9"/>
    <w:rsid w:val="00E80EE0"/>
    <w:rsid w:val="00E814E8"/>
    <w:rsid w:val="00E82252"/>
    <w:rsid w:val="00E8234C"/>
    <w:rsid w:val="00E82FA7"/>
    <w:rsid w:val="00E83AA9"/>
    <w:rsid w:val="00E84E34"/>
    <w:rsid w:val="00E85928"/>
    <w:rsid w:val="00E86020"/>
    <w:rsid w:val="00E87822"/>
    <w:rsid w:val="00E90395"/>
    <w:rsid w:val="00E90E49"/>
    <w:rsid w:val="00E917F9"/>
    <w:rsid w:val="00E9291C"/>
    <w:rsid w:val="00E93FFE"/>
    <w:rsid w:val="00E94F8A"/>
    <w:rsid w:val="00E97278"/>
    <w:rsid w:val="00EA7A41"/>
    <w:rsid w:val="00EB077B"/>
    <w:rsid w:val="00EB09B9"/>
    <w:rsid w:val="00EB3991"/>
    <w:rsid w:val="00EB4EA2"/>
    <w:rsid w:val="00EC0338"/>
    <w:rsid w:val="00EC24D5"/>
    <w:rsid w:val="00EC27C6"/>
    <w:rsid w:val="00EC4207"/>
    <w:rsid w:val="00EC5653"/>
    <w:rsid w:val="00EC71CE"/>
    <w:rsid w:val="00ED06B1"/>
    <w:rsid w:val="00ED1006"/>
    <w:rsid w:val="00ED332C"/>
    <w:rsid w:val="00ED394A"/>
    <w:rsid w:val="00ED3F1F"/>
    <w:rsid w:val="00ED6F34"/>
    <w:rsid w:val="00EE0304"/>
    <w:rsid w:val="00EE1817"/>
    <w:rsid w:val="00EE2043"/>
    <w:rsid w:val="00EF18FE"/>
    <w:rsid w:val="00EF2E41"/>
    <w:rsid w:val="00EF3F27"/>
    <w:rsid w:val="00EF5787"/>
    <w:rsid w:val="00EF60D0"/>
    <w:rsid w:val="00F035B8"/>
    <w:rsid w:val="00F0528D"/>
    <w:rsid w:val="00F06C67"/>
    <w:rsid w:val="00F06DFD"/>
    <w:rsid w:val="00F071D1"/>
    <w:rsid w:val="00F07533"/>
    <w:rsid w:val="00F10629"/>
    <w:rsid w:val="00F113F6"/>
    <w:rsid w:val="00F15866"/>
    <w:rsid w:val="00F15FA5"/>
    <w:rsid w:val="00F17EA5"/>
    <w:rsid w:val="00F209B7"/>
    <w:rsid w:val="00F2376F"/>
    <w:rsid w:val="00F23F11"/>
    <w:rsid w:val="00F243D8"/>
    <w:rsid w:val="00F24FC6"/>
    <w:rsid w:val="00F30828"/>
    <w:rsid w:val="00F30EFD"/>
    <w:rsid w:val="00F313D6"/>
    <w:rsid w:val="00F40F0C"/>
    <w:rsid w:val="00F41FE4"/>
    <w:rsid w:val="00F44DFC"/>
    <w:rsid w:val="00F4766C"/>
    <w:rsid w:val="00F4792A"/>
    <w:rsid w:val="00F47E27"/>
    <w:rsid w:val="00F5060E"/>
    <w:rsid w:val="00F507D1"/>
    <w:rsid w:val="00F519CE"/>
    <w:rsid w:val="00F51ADA"/>
    <w:rsid w:val="00F52236"/>
    <w:rsid w:val="00F60203"/>
    <w:rsid w:val="00F607C5"/>
    <w:rsid w:val="00F60DEA"/>
    <w:rsid w:val="00F611B1"/>
    <w:rsid w:val="00F61B4F"/>
    <w:rsid w:val="00F6302A"/>
    <w:rsid w:val="00F63950"/>
    <w:rsid w:val="00F64C2B"/>
    <w:rsid w:val="00F651BE"/>
    <w:rsid w:val="00F66C1D"/>
    <w:rsid w:val="00F67F53"/>
    <w:rsid w:val="00F703BE"/>
    <w:rsid w:val="00F71F69"/>
    <w:rsid w:val="00F7268A"/>
    <w:rsid w:val="00F72B72"/>
    <w:rsid w:val="00F74BB9"/>
    <w:rsid w:val="00F75582"/>
    <w:rsid w:val="00F76EFA"/>
    <w:rsid w:val="00F80140"/>
    <w:rsid w:val="00F804BE"/>
    <w:rsid w:val="00F817CE"/>
    <w:rsid w:val="00F8233A"/>
    <w:rsid w:val="00F83AA5"/>
    <w:rsid w:val="00F8456C"/>
    <w:rsid w:val="00F859D8"/>
    <w:rsid w:val="00F868F5"/>
    <w:rsid w:val="00F87FAA"/>
    <w:rsid w:val="00F9056A"/>
    <w:rsid w:val="00F90F8D"/>
    <w:rsid w:val="00F92782"/>
    <w:rsid w:val="00F93AA9"/>
    <w:rsid w:val="00F9481E"/>
    <w:rsid w:val="00F96985"/>
    <w:rsid w:val="00F97838"/>
    <w:rsid w:val="00FA289B"/>
    <w:rsid w:val="00FA2BB3"/>
    <w:rsid w:val="00FB3BCD"/>
    <w:rsid w:val="00FB4C80"/>
    <w:rsid w:val="00FB6A6A"/>
    <w:rsid w:val="00FC1E7A"/>
    <w:rsid w:val="00FC7429"/>
    <w:rsid w:val="00FD024C"/>
    <w:rsid w:val="00FD07F6"/>
    <w:rsid w:val="00FD1AAA"/>
    <w:rsid w:val="00FD1EC8"/>
    <w:rsid w:val="00FD35CD"/>
    <w:rsid w:val="00FD47ED"/>
    <w:rsid w:val="00FD74DB"/>
    <w:rsid w:val="00FD7660"/>
    <w:rsid w:val="00FE0655"/>
    <w:rsid w:val="00FE1170"/>
    <w:rsid w:val="00FE2365"/>
    <w:rsid w:val="00FE3231"/>
    <w:rsid w:val="00FE37D7"/>
    <w:rsid w:val="00FE4C7B"/>
    <w:rsid w:val="00FE4DD0"/>
    <w:rsid w:val="00FE7336"/>
    <w:rsid w:val="00FE787C"/>
    <w:rsid w:val="00FE7DF0"/>
    <w:rsid w:val="00FF1487"/>
    <w:rsid w:val="00FF18BF"/>
    <w:rsid w:val="00FF2107"/>
    <w:rsid w:val="00FF250A"/>
    <w:rsid w:val="00FF45A5"/>
    <w:rsid w:val="00FF5C91"/>
    <w:rsid w:val="00FF7646"/>
    <w:rsid w:val="0A886FFD"/>
    <w:rsid w:val="198B8254"/>
    <w:rsid w:val="24FB4CAF"/>
    <w:rsid w:val="2ECCCAA9"/>
    <w:rsid w:val="55F68C11"/>
    <w:rsid w:val="630FBB9D"/>
    <w:rsid w:val="6E7F1C68"/>
    <w:rsid w:val="70316F2C"/>
    <w:rsid w:val="7602BADC"/>
    <w:rsid w:val="7CC56C9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5B161DFF-C32D-446B-B5B2-714E31C6E1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paragraph" w:styleId="Revision">
    <w:name w:val="Revision"/>
    <w:hidden/>
    <w:uiPriority w:val="99"/>
    <w:semiHidden/>
    <w:rsid w:val="00E0499F"/>
    <w:rPr>
      <w:rFonts w:ascii="Arial" w:eastAsiaTheme="minorHAnsi" w:hAnsi="Arial" w:cstheme="minorBidi"/>
      <w:szCs w:val="22"/>
      <w:lang w:val="en-US" w:eastAsia="en-US"/>
    </w:rPr>
  </w:style>
  <w:style w:type="character" w:styleId="Mention">
    <w:name w:val="Mention"/>
    <w:basedOn w:val="DefaultParagraphFont"/>
    <w:uiPriority w:val="99"/>
    <w:unhideWhenUsed/>
    <w:rsid w:val="00174C5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4400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2.xml><?xml version="1.0" encoding="utf-8"?>
<ds:datastoreItem xmlns:ds="http://schemas.openxmlformats.org/officeDocument/2006/customXml" ds:itemID="{947E5BE9-07A8-4513-9DCB-BBD0681FCC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C08889CA-CF25-44DD-B38A-03277614784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154</TotalTime>
  <Pages>5</Pages>
  <Words>1906</Words>
  <Characters>10868</Characters>
  <Application>Microsoft Office Word</Application>
  <DocSecurity>0</DocSecurity>
  <Lines>90</Lines>
  <Paragraphs>25</Paragraphs>
  <ScaleCrop>false</ScaleCrop>
  <Company>Ericsson</Company>
  <LinksUpToDate>false</LinksUpToDate>
  <CharactersWithSpaces>12749</CharactersWithSpaces>
  <SharedDoc>false</SharedDoc>
  <HLinks>
    <vt:vector size="84" baseType="variant">
      <vt:variant>
        <vt:i4>1048639</vt:i4>
      </vt:variant>
      <vt:variant>
        <vt:i4>41</vt:i4>
      </vt:variant>
      <vt:variant>
        <vt:i4>0</vt:i4>
      </vt:variant>
      <vt:variant>
        <vt:i4>5</vt:i4>
      </vt:variant>
      <vt:variant>
        <vt:lpwstr/>
      </vt:variant>
      <vt:variant>
        <vt:lpwstr>_Toc144394344</vt:lpwstr>
      </vt:variant>
      <vt:variant>
        <vt:i4>1048639</vt:i4>
      </vt:variant>
      <vt:variant>
        <vt:i4>38</vt:i4>
      </vt:variant>
      <vt:variant>
        <vt:i4>0</vt:i4>
      </vt:variant>
      <vt:variant>
        <vt:i4>5</vt:i4>
      </vt:variant>
      <vt:variant>
        <vt:lpwstr/>
      </vt:variant>
      <vt:variant>
        <vt:lpwstr>_Toc144394343</vt:lpwstr>
      </vt:variant>
      <vt:variant>
        <vt:i4>1048639</vt:i4>
      </vt:variant>
      <vt:variant>
        <vt:i4>35</vt:i4>
      </vt:variant>
      <vt:variant>
        <vt:i4>0</vt:i4>
      </vt:variant>
      <vt:variant>
        <vt:i4>5</vt:i4>
      </vt:variant>
      <vt:variant>
        <vt:lpwstr/>
      </vt:variant>
      <vt:variant>
        <vt:lpwstr>_Toc144394342</vt:lpwstr>
      </vt:variant>
      <vt:variant>
        <vt:i4>1048639</vt:i4>
      </vt:variant>
      <vt:variant>
        <vt:i4>32</vt:i4>
      </vt:variant>
      <vt:variant>
        <vt:i4>0</vt:i4>
      </vt:variant>
      <vt:variant>
        <vt:i4>5</vt:i4>
      </vt:variant>
      <vt:variant>
        <vt:lpwstr/>
      </vt:variant>
      <vt:variant>
        <vt:lpwstr>_Toc144394341</vt:lpwstr>
      </vt:variant>
      <vt:variant>
        <vt:i4>1048639</vt:i4>
      </vt:variant>
      <vt:variant>
        <vt:i4>29</vt:i4>
      </vt:variant>
      <vt:variant>
        <vt:i4>0</vt:i4>
      </vt:variant>
      <vt:variant>
        <vt:i4>5</vt:i4>
      </vt:variant>
      <vt:variant>
        <vt:lpwstr/>
      </vt:variant>
      <vt:variant>
        <vt:lpwstr>_Toc144394340</vt:lpwstr>
      </vt:variant>
      <vt:variant>
        <vt:i4>1507391</vt:i4>
      </vt:variant>
      <vt:variant>
        <vt:i4>26</vt:i4>
      </vt:variant>
      <vt:variant>
        <vt:i4>0</vt:i4>
      </vt:variant>
      <vt:variant>
        <vt:i4>5</vt:i4>
      </vt:variant>
      <vt:variant>
        <vt:lpwstr/>
      </vt:variant>
      <vt:variant>
        <vt:lpwstr>_Toc144394339</vt:lpwstr>
      </vt:variant>
      <vt:variant>
        <vt:i4>1507391</vt:i4>
      </vt:variant>
      <vt:variant>
        <vt:i4>23</vt:i4>
      </vt:variant>
      <vt:variant>
        <vt:i4>0</vt:i4>
      </vt:variant>
      <vt:variant>
        <vt:i4>5</vt:i4>
      </vt:variant>
      <vt:variant>
        <vt:lpwstr/>
      </vt:variant>
      <vt:variant>
        <vt:lpwstr>_Toc144394338</vt:lpwstr>
      </vt:variant>
      <vt:variant>
        <vt:i4>1507391</vt:i4>
      </vt:variant>
      <vt:variant>
        <vt:i4>20</vt:i4>
      </vt:variant>
      <vt:variant>
        <vt:i4>0</vt:i4>
      </vt:variant>
      <vt:variant>
        <vt:i4>5</vt:i4>
      </vt:variant>
      <vt:variant>
        <vt:lpwstr/>
      </vt:variant>
      <vt:variant>
        <vt:lpwstr>_Toc144394337</vt:lpwstr>
      </vt:variant>
      <vt:variant>
        <vt:i4>1507391</vt:i4>
      </vt:variant>
      <vt:variant>
        <vt:i4>17</vt:i4>
      </vt:variant>
      <vt:variant>
        <vt:i4>0</vt:i4>
      </vt:variant>
      <vt:variant>
        <vt:i4>5</vt:i4>
      </vt:variant>
      <vt:variant>
        <vt:lpwstr/>
      </vt:variant>
      <vt:variant>
        <vt:lpwstr>_Toc144394336</vt:lpwstr>
      </vt:variant>
      <vt:variant>
        <vt:i4>1507391</vt:i4>
      </vt:variant>
      <vt:variant>
        <vt:i4>14</vt:i4>
      </vt:variant>
      <vt:variant>
        <vt:i4>0</vt:i4>
      </vt:variant>
      <vt:variant>
        <vt:i4>5</vt:i4>
      </vt:variant>
      <vt:variant>
        <vt:lpwstr/>
      </vt:variant>
      <vt:variant>
        <vt:lpwstr>_Toc144394335</vt:lpwstr>
      </vt:variant>
      <vt:variant>
        <vt:i4>1179710</vt:i4>
      </vt:variant>
      <vt:variant>
        <vt:i4>8</vt:i4>
      </vt:variant>
      <vt:variant>
        <vt:i4>0</vt:i4>
      </vt:variant>
      <vt:variant>
        <vt:i4>5</vt:i4>
      </vt:variant>
      <vt:variant>
        <vt:lpwstr/>
      </vt:variant>
      <vt:variant>
        <vt:lpwstr>_Toc144392203</vt:lpwstr>
      </vt:variant>
      <vt:variant>
        <vt:i4>1179710</vt:i4>
      </vt:variant>
      <vt:variant>
        <vt:i4>5</vt:i4>
      </vt:variant>
      <vt:variant>
        <vt:i4>0</vt:i4>
      </vt:variant>
      <vt:variant>
        <vt:i4>5</vt:i4>
      </vt:variant>
      <vt:variant>
        <vt:lpwstr/>
      </vt:variant>
      <vt:variant>
        <vt:lpwstr>_Toc144392202</vt:lpwstr>
      </vt:variant>
      <vt:variant>
        <vt:i4>1179710</vt:i4>
      </vt:variant>
      <vt:variant>
        <vt:i4>2</vt:i4>
      </vt:variant>
      <vt:variant>
        <vt:i4>0</vt:i4>
      </vt:variant>
      <vt:variant>
        <vt:i4>5</vt:i4>
      </vt:variant>
      <vt:variant>
        <vt:lpwstr/>
      </vt:variant>
      <vt:variant>
        <vt:lpwstr>_Toc144392201</vt:lpwstr>
      </vt:variant>
      <vt:variant>
        <vt:i4>852076</vt:i4>
      </vt:variant>
      <vt:variant>
        <vt:i4>0</vt:i4>
      </vt:variant>
      <vt:variant>
        <vt:i4>0</vt:i4>
      </vt:variant>
      <vt:variant>
        <vt:i4>5</vt:i4>
      </vt:variant>
      <vt:variant>
        <vt:lpwstr>mailto:thomas.chapman@ericsson.com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TDoc</cp:keywords>
  <dc:description/>
  <cp:lastModifiedBy>Thomas Chapman</cp:lastModifiedBy>
  <cp:revision>387</cp:revision>
  <cp:lastPrinted>2008-01-31T16:09:00Z</cp:lastPrinted>
  <dcterms:created xsi:type="dcterms:W3CDTF">2020-08-14T06:21:00Z</dcterms:created>
  <dcterms:modified xsi:type="dcterms:W3CDTF">2023-09-04T11:57:00Z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_dlc_DocIdItemGuid">
    <vt:lpwstr>4d813d4c-6308-40f6-a794-c31ad5164d8c</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MediaServiceImageTags">
    <vt:lpwstr/>
  </property>
  <property fmtid="{D5CDD505-2E9C-101B-9397-08002B2CF9AE}" pid="9" name="EriCOLLProjects">
    <vt:lpwstr/>
  </property>
  <property fmtid="{D5CDD505-2E9C-101B-9397-08002B2CF9AE}" pid="10" name="EriCOLLProcess">
    <vt:lpwstr/>
  </property>
  <property fmtid="{D5CDD505-2E9C-101B-9397-08002B2CF9AE}" pid="11" name="EriCOLLOrganizationUnit">
    <vt:lpwstr/>
  </property>
  <property fmtid="{D5CDD505-2E9C-101B-9397-08002B2CF9AE}" pid="12" name="EriCOLLProducts">
    <vt:lpwstr/>
  </property>
  <property fmtid="{D5CDD505-2E9C-101B-9397-08002B2CF9AE}" pid="13" name="EriCOLLCustomer">
    <vt:lpwstr/>
  </property>
  <property fmtid="{D5CDD505-2E9C-101B-9397-08002B2CF9AE}" pid="14" name="TaxKeyword">
    <vt:lpwstr>212;#TDoc|af4b50c5-3c78-4293-b1bd-3e717d5b6882</vt:lpwstr>
  </property>
</Properties>
</file>